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48"/>
          <w:szCs w:val="48"/>
        </w:rPr>
      </w:pPr>
    </w:p>
    <w:p>
      <w:pPr>
        <w:jc w:val="center"/>
        <w:rPr>
          <w:rFonts w:ascii="宋体" w:hAnsi="宋体"/>
          <w:b/>
          <w:sz w:val="48"/>
          <w:szCs w:val="48"/>
        </w:rPr>
      </w:pPr>
      <w:r>
        <w:rPr>
          <w:rFonts w:hint="eastAsia" w:ascii="宋体" w:hAnsi="宋体"/>
          <w:b/>
          <w:sz w:val="48"/>
          <w:szCs w:val="48"/>
        </w:rPr>
        <w:t>工信局2019年部门决算编制说明</w:t>
      </w:r>
    </w:p>
    <w:p>
      <w:pPr>
        <w:rPr>
          <w:rFonts w:ascii="仿宋_GB2312" w:hAnsi="宋体" w:eastAsia="仿宋_GB2312"/>
          <w:b/>
          <w:sz w:val="36"/>
          <w:szCs w:val="36"/>
        </w:rPr>
      </w:pPr>
    </w:p>
    <w:p>
      <w:pPr>
        <w:rPr>
          <w:rFonts w:ascii="仿宋_GB2312" w:hAnsi="宋体" w:eastAsia="仿宋_GB2312"/>
          <w:b/>
          <w:sz w:val="36"/>
          <w:szCs w:val="36"/>
        </w:rPr>
      </w:pPr>
      <w:r>
        <w:rPr>
          <w:rFonts w:hint="eastAsia" w:ascii="仿宋_GB2312" w:hAnsi="宋体" w:eastAsia="仿宋_GB2312"/>
          <w:b/>
          <w:sz w:val="44"/>
          <w:szCs w:val="44"/>
        </w:rPr>
        <w:t>第一部分：工信局部门概况</w:t>
      </w:r>
      <w:r>
        <w:rPr>
          <w:rFonts w:hint="eastAsia" w:ascii="仿宋_GB2312" w:hAnsi="宋体" w:eastAsia="仿宋_GB2312"/>
          <w:b/>
          <w:sz w:val="36"/>
          <w:szCs w:val="36"/>
        </w:rPr>
        <w:t xml:space="preserve">  </w:t>
      </w:r>
    </w:p>
    <w:p>
      <w:pPr>
        <w:ind w:firstLine="643" w:firstLineChars="200"/>
        <w:rPr>
          <w:rFonts w:ascii="仿宋_GB2312" w:hAnsi="宋体" w:eastAsia="仿宋_GB2312"/>
          <w:b/>
          <w:sz w:val="32"/>
          <w:szCs w:val="32"/>
        </w:rPr>
      </w:pPr>
      <w:r>
        <w:rPr>
          <w:rFonts w:hint="eastAsia" w:ascii="仿宋_GB2312" w:hAnsi="宋体" w:eastAsia="仿宋_GB2312"/>
          <w:b/>
          <w:sz w:val="32"/>
          <w:szCs w:val="32"/>
        </w:rPr>
        <w:t>一、部门主要职责</w:t>
      </w:r>
    </w:p>
    <w:p>
      <w:pPr>
        <w:ind w:firstLine="640" w:firstLineChars="200"/>
        <w:rPr>
          <w:rFonts w:ascii="仿宋_GB2312" w:hAnsi="宋体" w:eastAsia="仿宋_GB2312"/>
          <w:bCs/>
          <w:sz w:val="36"/>
          <w:szCs w:val="36"/>
        </w:rPr>
      </w:pPr>
      <w:r>
        <w:rPr>
          <w:rFonts w:hint="eastAsia" w:ascii="仿宋_GB2312" w:hAnsi="宋体" w:eastAsia="仿宋_GB2312"/>
          <w:bCs/>
          <w:sz w:val="32"/>
          <w:szCs w:val="32"/>
        </w:rPr>
        <w:t>工信局为市政府正科级工作部门，其主要职能是：</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⑴</w:t>
      </w:r>
      <w:r>
        <w:rPr>
          <w:rFonts w:hint="eastAsia" w:ascii="仿宋_GB2312" w:eastAsia="仿宋_GB2312"/>
          <w:sz w:val="32"/>
          <w:szCs w:val="32"/>
        </w:rPr>
        <w:t>提出全市工业发展战略，拟订全市工业和信息化发展的目标、规划和政策措施并组织实施，对有关执行情况进行督查。</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⑵</w:t>
      </w:r>
      <w:r>
        <w:rPr>
          <w:rFonts w:hint="eastAsia" w:ascii="仿宋_GB2312" w:eastAsia="仿宋_GB2312"/>
          <w:sz w:val="32"/>
          <w:szCs w:val="32"/>
        </w:rPr>
        <w:t>协调解决新型工业化进程中的重大问题；提出产业布局、结构调整建议，协调推进战略性新兴产业发展。</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⑶</w:t>
      </w:r>
      <w:r>
        <w:rPr>
          <w:rFonts w:hint="eastAsia" w:ascii="仿宋_GB2312" w:eastAsia="仿宋_GB2312"/>
          <w:sz w:val="32"/>
          <w:szCs w:val="32"/>
        </w:rPr>
        <w:t>监测、分析全市工业经济运行态势，发布相关信息，进行预测预警和信息引导；协调解决工业经济运行中的有关问题并提出政策建议；负责工业应急管理、产业安全和国防动员有关工作；负责工业产业政策的监督执行。</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⑷</w:t>
      </w:r>
      <w:r>
        <w:rPr>
          <w:rFonts w:hint="eastAsia" w:ascii="仿宋_GB2312" w:eastAsia="仿宋_GB2312"/>
          <w:sz w:val="32"/>
          <w:szCs w:val="32"/>
        </w:rPr>
        <w:t>组织实施工业行业技术规范、标准、行业准入，管理全市食盐专营工作。承担轻化建材行业管理工作。负责农药生产的监督管理。协调烟草专营管理工作。负责军民融合产业推进。承担民爆器材、船舶行业的监督管理工作。</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⑸</w:t>
      </w:r>
      <w:r>
        <w:rPr>
          <w:rFonts w:hint="eastAsia" w:ascii="仿宋_GB2312" w:eastAsia="仿宋_GB2312"/>
          <w:sz w:val="32"/>
          <w:szCs w:val="32"/>
        </w:rPr>
        <w:t>组织推进智能制造、绿色制造、制造业创新中心、工业强基、高端装备制造业等工程建设，组织推进企业创新体系建设和产学研相结合，推进相关科研成果产业化。</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⑹</w:t>
      </w:r>
      <w:r>
        <w:rPr>
          <w:rFonts w:hint="eastAsia" w:ascii="仿宋_GB2312" w:eastAsia="仿宋_GB2312"/>
          <w:sz w:val="32"/>
          <w:szCs w:val="32"/>
        </w:rPr>
        <w:t>拟订并组织实施工业园区发展规划，承担对全市工业园区的指导服务、综合协调工作。组织实施全市工业园区的考核、评比工作。负责产业基地和重点产业集群的扶持培育和评估认定。负责组织指导特色产业园区、生态工业园区和数字化园区建设。</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⑺</w:t>
      </w:r>
      <w:r>
        <w:rPr>
          <w:rFonts w:hint="eastAsia" w:ascii="仿宋_GB2312" w:eastAsia="仿宋_GB2312"/>
          <w:sz w:val="32"/>
          <w:szCs w:val="32"/>
        </w:rPr>
        <w:t>负责提出工业和信息化固定资产投资规模和方向；指导和推动企业采用新技术和先进适用技术升级改造，建立工业信息化项目库，按规定权限备案、审核、申报全市工业和信息化固定资产投资项目。</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⑻</w:t>
      </w:r>
      <w:r>
        <w:rPr>
          <w:rFonts w:hint="eastAsia" w:ascii="仿宋_GB2312" w:eastAsia="仿宋_GB2312"/>
          <w:sz w:val="32"/>
          <w:szCs w:val="32"/>
        </w:rPr>
        <w:t>承担全市工业节能管理和监察工作。拟订并组织实施工业节能、资源综合利用，清洁生产促进规划和污染控制政策。组织协调相关重大示范工程和新产品、新技术、新设备、新材料的推广应用；负责全市工业领域规定权限内投资项目的节能评审工作。负责全市新型墙体材料、散装水泥和预拌混凝土、预拌砂浆的管理工作。</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⑼</w:t>
      </w:r>
      <w:r>
        <w:rPr>
          <w:rFonts w:hint="eastAsia" w:ascii="仿宋_GB2312" w:eastAsia="仿宋_GB2312"/>
          <w:sz w:val="32"/>
          <w:szCs w:val="32"/>
        </w:rPr>
        <w:t>负责中小微企业和非公有制经济发展的综合指导协调，拟订发展政策措施并组织实施、监测、分析运行态势，协调解决有关重大问题并提出政策建议。负责建立和完善中小微企业服务体系，负责扶持中小企业发展专项资金项目的组织实施。</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⑽</w:t>
      </w:r>
      <w:r>
        <w:rPr>
          <w:rFonts w:hint="eastAsia" w:ascii="仿宋_GB2312" w:eastAsia="仿宋_GB2312"/>
          <w:sz w:val="32"/>
          <w:szCs w:val="32"/>
        </w:rPr>
        <w:t>推进企业融资服务体系建设，提出意见建议。协调推进信用管理，配合有关部门指导融资性担保行业发展，搭建投融资平台。促进金融机构与企业建立合作机制，协调解决企业融资问题。</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⑾</w:t>
      </w:r>
      <w:r>
        <w:rPr>
          <w:rFonts w:hint="eastAsia" w:ascii="仿宋_GB2312" w:eastAsia="仿宋_GB2312"/>
          <w:sz w:val="32"/>
          <w:szCs w:val="32"/>
        </w:rPr>
        <w:t>建立服务工业企业的工作体系，研究提出扶持重点工业企业发展的措施，协调优化工业企业生产经营环境，制定企业经营管理人员培训规划，并组织实施培训工作。</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⑿</w:t>
      </w:r>
      <w:r>
        <w:rPr>
          <w:rFonts w:hint="eastAsia" w:ascii="仿宋_GB2312" w:eastAsia="仿宋_GB2312"/>
          <w:sz w:val="32"/>
          <w:szCs w:val="32"/>
        </w:rPr>
        <w:t>统筹推进全市信息化工作，组织制定相关政策并协调解决信息化建设中的重大问题，推进信息技术和互联网的普及应用，推进信息化和工业化融合。推进信息消费发展。</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⒀</w:t>
      </w:r>
      <w:r>
        <w:rPr>
          <w:rFonts w:hint="eastAsia" w:ascii="仿宋_GB2312" w:eastAsia="仿宋_GB2312"/>
          <w:sz w:val="32"/>
          <w:szCs w:val="32"/>
        </w:rPr>
        <w:t>按照规定权限，协调推进信息化基础设施建设。协调推进通信网、广播电视网和互联网“三网融合”发展。依法监督管理信息服务市场。负责全市信息产品制造业和软件业行业管理工作。会同有关部门促进全市通信和信息服务业的发展，推动信息技术应用。负责指导协调通信行业和无线电管理工作。</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⒁</w:t>
      </w:r>
      <w:r>
        <w:rPr>
          <w:rFonts w:hint="eastAsia" w:ascii="仿宋_GB2312" w:eastAsia="仿宋_GB2312"/>
          <w:sz w:val="32"/>
          <w:szCs w:val="32"/>
        </w:rPr>
        <w:t>承担相关信息安全管理的职责，负责协调信息安全及其保障体系建设，指导监督政府部门、重点行业的重要信息系统与基础信息网络的安全保障工作，协调处理网络与信息安全的重大事件。</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⒂</w:t>
      </w:r>
      <w:r>
        <w:rPr>
          <w:rFonts w:hint="eastAsia" w:ascii="仿宋_GB2312" w:eastAsia="仿宋_GB2312"/>
          <w:sz w:val="32"/>
          <w:szCs w:val="32"/>
        </w:rPr>
        <w:t>提出市工业和信息化发展专项基金的年度预算建议，会同有关部门提出市工业和信息化发展专项基金安排、使用的具体意见，对资金使用情况进行监督管理，对资金使用结果进行评价和考核。</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⒃</w:t>
      </w:r>
      <w:r>
        <w:rPr>
          <w:rFonts w:hint="eastAsia" w:ascii="仿宋_GB2312" w:eastAsia="仿宋_GB2312"/>
          <w:sz w:val="32"/>
          <w:szCs w:val="32"/>
        </w:rPr>
        <w:t>负责国家、省、九江市对口部门用于全市工业和信息化财政性建设资金安排建议。负责国家、省、九江市工业和信息化领域产业专项扶持资金的申报和组织实施工作。</w:t>
      </w:r>
    </w:p>
    <w:p>
      <w:pPr>
        <w:rPr>
          <w:rFonts w:ascii="仿宋_GB2312" w:eastAsia="仿宋_GB2312"/>
          <w:sz w:val="32"/>
          <w:szCs w:val="32"/>
        </w:rPr>
      </w:pPr>
      <w:r>
        <w:rPr>
          <w:rFonts w:hint="eastAsia" w:ascii="仿宋_GB2312" w:eastAsia="仿宋_GB2312"/>
          <w:sz w:val="32"/>
          <w:szCs w:val="32"/>
        </w:rPr>
        <w:t xml:space="preserve">    </w:t>
      </w:r>
      <w:r>
        <w:rPr>
          <w:rFonts w:hint="eastAsia" w:ascii="微软雅黑" w:hAnsi="微软雅黑" w:eastAsia="微软雅黑" w:cs="微软雅黑"/>
          <w:sz w:val="32"/>
          <w:szCs w:val="32"/>
        </w:rPr>
        <w:t>⒄</w:t>
      </w:r>
      <w:r>
        <w:rPr>
          <w:rFonts w:hint="eastAsia" w:ascii="仿宋_GB2312" w:eastAsia="仿宋_GB2312"/>
          <w:sz w:val="32"/>
          <w:szCs w:val="32"/>
        </w:rPr>
        <w:t>开展工业和信息化的对外合作与交流。</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⒅</w:t>
      </w:r>
      <w:r>
        <w:rPr>
          <w:rFonts w:hint="eastAsia" w:ascii="仿宋_GB2312" w:eastAsia="仿宋_GB2312"/>
          <w:sz w:val="32"/>
          <w:szCs w:val="32"/>
        </w:rPr>
        <w:t>完成市委、市政府交办的其他任务。</w:t>
      </w:r>
    </w:p>
    <w:p>
      <w:pPr>
        <w:ind w:firstLine="643" w:firstLineChars="200"/>
        <w:rPr>
          <w:rFonts w:ascii="仿宋_GB2312" w:eastAsia="仿宋_GB2312"/>
          <w:sz w:val="32"/>
          <w:szCs w:val="32"/>
        </w:rPr>
      </w:pPr>
      <w:r>
        <w:rPr>
          <w:rFonts w:hint="eastAsia" w:ascii="仿宋_GB2312" w:eastAsia="仿宋_GB2312"/>
          <w:b/>
          <w:bCs/>
          <w:sz w:val="32"/>
          <w:szCs w:val="32"/>
        </w:rPr>
        <w:t>二、部门基本情况</w:t>
      </w:r>
    </w:p>
    <w:p>
      <w:pPr>
        <w:ind w:firstLine="643" w:firstLineChars="200"/>
        <w:rPr>
          <w:rFonts w:ascii="仿宋_GB2312" w:eastAsia="仿宋_GB2312"/>
          <w:sz w:val="32"/>
          <w:szCs w:val="32"/>
        </w:rPr>
      </w:pPr>
      <w:r>
        <w:rPr>
          <w:rFonts w:hint="eastAsia" w:ascii="仿宋_GB2312" w:eastAsia="仿宋_GB2312"/>
          <w:b/>
          <w:bCs/>
          <w:sz w:val="32"/>
          <w:szCs w:val="32"/>
        </w:rPr>
        <w:t>1.机构情况</w:t>
      </w:r>
      <w:r>
        <w:rPr>
          <w:rFonts w:hint="eastAsia" w:ascii="仿宋_GB2312" w:eastAsia="仿宋_GB2312"/>
          <w:sz w:val="32"/>
          <w:szCs w:val="32"/>
        </w:rPr>
        <w:t>。工信委2019年机构改革更名为工业和信息化局，共有预算单位2个，包括局本级和1个所属事业单位轻化建材管理办公室（属独立核算单位）。</w:t>
      </w:r>
    </w:p>
    <w:p>
      <w:pPr>
        <w:ind w:firstLine="643" w:firstLineChars="200"/>
        <w:rPr>
          <w:rFonts w:ascii="仿宋_GB2312" w:eastAsia="仿宋_GB2312"/>
          <w:sz w:val="32"/>
          <w:szCs w:val="32"/>
        </w:rPr>
      </w:pPr>
      <w:r>
        <w:rPr>
          <w:rFonts w:hint="eastAsia" w:ascii="仿宋_GB2312" w:eastAsia="仿宋_GB2312"/>
          <w:b/>
          <w:bCs/>
          <w:sz w:val="32"/>
          <w:szCs w:val="32"/>
        </w:rPr>
        <w:t>2.人员情况。</w:t>
      </w:r>
      <w:r>
        <w:rPr>
          <w:rFonts w:hint="eastAsia" w:ascii="仿宋_GB2312" w:eastAsia="仿宋_GB2312"/>
          <w:sz w:val="32"/>
          <w:szCs w:val="32"/>
        </w:rPr>
        <w:t>工信局共有编制人数15人，其中：行政编制10名(工信局本级），全部补助事业编制5人（轻化办）。实有人数30人，其中：在职15人（工信局本级11人,轻化办4人）;离休2人(工信局本级1人,轻化办1人)，退休遗属4人（工信局本级2人,轻化办2人），临时人员7人(工信局本级6人，轻化办1人)。另外，通过组织借用干部3人（工信局本级）。工信局当年在职转退休1人，调出1人，退休死亡1人；轻化办当年在职转退休1人。</w:t>
      </w:r>
    </w:p>
    <w:p>
      <w:pPr>
        <w:ind w:firstLine="643" w:firstLineChars="200"/>
        <w:rPr>
          <w:rFonts w:ascii="仿宋_GB2312" w:eastAsia="仿宋_GB2312"/>
          <w:b/>
          <w:bCs/>
          <w:sz w:val="32"/>
          <w:szCs w:val="32"/>
        </w:rPr>
      </w:pPr>
      <w:r>
        <w:rPr>
          <w:rFonts w:hint="eastAsia" w:ascii="仿宋_GB2312" w:eastAsia="仿宋_GB2312"/>
          <w:b/>
          <w:bCs/>
          <w:sz w:val="32"/>
          <w:szCs w:val="32"/>
        </w:rPr>
        <w:t>3.当年取得的主要成效</w:t>
      </w:r>
    </w:p>
    <w:p>
      <w:pPr>
        <w:spacing w:line="580" w:lineRule="exact"/>
        <w:ind w:firstLine="640" w:firstLineChars="200"/>
        <w:rPr>
          <w:rFonts w:ascii="仿宋_GB2312" w:hAnsi="仿宋" w:eastAsia="仿宋_GB2312" w:cs="仿宋_GB2312"/>
          <w:kern w:val="1"/>
          <w:sz w:val="32"/>
          <w:szCs w:val="32"/>
        </w:rPr>
      </w:pPr>
      <w:r>
        <w:rPr>
          <w:rFonts w:ascii="仿宋_GB2312" w:hAnsi="仿宋" w:eastAsia="仿宋_GB2312" w:cs="仿宋_GB2312"/>
          <w:kern w:val="1"/>
          <w:sz w:val="32"/>
          <w:szCs w:val="32"/>
        </w:rPr>
        <w:t>1</w:t>
      </w:r>
      <w:r>
        <w:rPr>
          <w:rFonts w:hint="eastAsia" w:ascii="仿宋_GB2312" w:hAnsi="仿宋" w:eastAsia="仿宋_GB2312" w:cs="仿宋_GB2312"/>
          <w:kern w:val="1"/>
          <w:sz w:val="32"/>
          <w:szCs w:val="32"/>
        </w:rPr>
        <w:t>、工业经济主要指标完成情况</w:t>
      </w:r>
    </w:p>
    <w:p>
      <w:pPr>
        <w:spacing w:line="580" w:lineRule="exact"/>
        <w:ind w:firstLine="640" w:firstLineChars="20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工业增加值增幅8.3</w:t>
      </w:r>
      <w:r>
        <w:rPr>
          <w:rFonts w:ascii="仿宋_GB2312" w:hAnsi="仿宋" w:eastAsia="仿宋_GB2312" w:cs="仿宋_GB2312"/>
          <w:kern w:val="1"/>
          <w:sz w:val="32"/>
          <w:szCs w:val="32"/>
        </w:rPr>
        <w:t>%</w:t>
      </w:r>
      <w:r>
        <w:rPr>
          <w:rFonts w:hint="eastAsia" w:ascii="仿宋_GB2312" w:hAnsi="仿宋" w:eastAsia="仿宋_GB2312" w:cs="仿宋_GB2312"/>
          <w:kern w:val="1"/>
          <w:sz w:val="32"/>
          <w:szCs w:val="32"/>
        </w:rPr>
        <w:t>，工业总产值219.65亿元</w:t>
      </w:r>
      <w:r>
        <w:rPr>
          <w:rFonts w:ascii="仿宋_GB2312" w:hAnsi="仿宋" w:eastAsia="仿宋_GB2312" w:cs="仿宋_GB2312"/>
          <w:kern w:val="1"/>
          <w:sz w:val="32"/>
          <w:szCs w:val="32"/>
        </w:rPr>
        <w:t>,</w:t>
      </w:r>
      <w:r>
        <w:rPr>
          <w:rFonts w:hint="eastAsia" w:ascii="仿宋_GB2312" w:hAnsi="仿宋" w:eastAsia="仿宋_GB2312" w:cs="仿宋_GB2312"/>
          <w:kern w:val="1"/>
          <w:sz w:val="32"/>
          <w:szCs w:val="32"/>
        </w:rPr>
        <w:t>占年目标77.61</w:t>
      </w:r>
      <w:r>
        <w:rPr>
          <w:rFonts w:ascii="仿宋_GB2312" w:hAnsi="仿宋" w:eastAsia="仿宋_GB2312" w:cs="仿宋_GB2312"/>
          <w:kern w:val="1"/>
          <w:sz w:val="32"/>
          <w:szCs w:val="32"/>
        </w:rPr>
        <w:t>%</w:t>
      </w:r>
      <w:r>
        <w:rPr>
          <w:rFonts w:hint="eastAsia" w:ascii="仿宋_GB2312" w:hAnsi="仿宋" w:eastAsia="仿宋_GB2312" w:cs="仿宋_GB2312"/>
          <w:kern w:val="1"/>
          <w:sz w:val="32"/>
          <w:szCs w:val="32"/>
        </w:rPr>
        <w:t>，增幅17.09</w:t>
      </w:r>
      <w:r>
        <w:rPr>
          <w:rFonts w:ascii="仿宋_GB2312" w:hAnsi="仿宋" w:eastAsia="仿宋_GB2312" w:cs="仿宋_GB2312"/>
          <w:kern w:val="1"/>
          <w:sz w:val="32"/>
          <w:szCs w:val="32"/>
        </w:rPr>
        <w:t>%;</w:t>
      </w:r>
    </w:p>
    <w:p>
      <w:pPr>
        <w:spacing w:line="580" w:lineRule="exact"/>
        <w:ind w:firstLine="640" w:firstLineChars="20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主营业务收入202.7亿元，占年目标72.39</w:t>
      </w:r>
      <w:r>
        <w:rPr>
          <w:rFonts w:ascii="仿宋_GB2312" w:hAnsi="仿宋" w:eastAsia="仿宋_GB2312" w:cs="仿宋_GB2312"/>
          <w:kern w:val="1"/>
          <w:sz w:val="32"/>
          <w:szCs w:val="32"/>
        </w:rPr>
        <w:t>%</w:t>
      </w:r>
      <w:r>
        <w:rPr>
          <w:rFonts w:hint="eastAsia" w:ascii="仿宋_GB2312" w:hAnsi="仿宋" w:eastAsia="仿宋_GB2312" w:cs="仿宋_GB2312"/>
          <w:kern w:val="1"/>
          <w:sz w:val="32"/>
          <w:szCs w:val="32"/>
        </w:rPr>
        <w:t>，增幅8.8</w:t>
      </w:r>
      <w:r>
        <w:rPr>
          <w:rFonts w:ascii="仿宋_GB2312" w:hAnsi="仿宋" w:eastAsia="仿宋_GB2312" w:cs="仿宋_GB2312"/>
          <w:kern w:val="1"/>
          <w:sz w:val="32"/>
          <w:szCs w:val="32"/>
        </w:rPr>
        <w:t>%</w:t>
      </w:r>
      <w:r>
        <w:rPr>
          <w:rFonts w:hint="eastAsia" w:ascii="仿宋_GB2312" w:hAnsi="仿宋" w:eastAsia="仿宋_GB2312" w:cs="仿宋_GB2312"/>
          <w:kern w:val="1"/>
          <w:sz w:val="32"/>
          <w:szCs w:val="32"/>
        </w:rPr>
        <w:t>；</w:t>
      </w:r>
    </w:p>
    <w:p>
      <w:pPr>
        <w:spacing w:line="580" w:lineRule="exact"/>
        <w:ind w:firstLine="640" w:firstLineChars="20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利润总额26.69亿元，占年目标78.5</w:t>
      </w:r>
      <w:r>
        <w:rPr>
          <w:rFonts w:ascii="仿宋_GB2312" w:hAnsi="仿宋" w:eastAsia="仿宋_GB2312" w:cs="仿宋_GB2312"/>
          <w:kern w:val="1"/>
          <w:sz w:val="32"/>
          <w:szCs w:val="32"/>
        </w:rPr>
        <w:t>%</w:t>
      </w:r>
      <w:r>
        <w:rPr>
          <w:rFonts w:hint="eastAsia" w:ascii="仿宋_GB2312" w:hAnsi="仿宋" w:eastAsia="仿宋_GB2312" w:cs="仿宋_GB2312"/>
          <w:kern w:val="1"/>
          <w:sz w:val="32"/>
          <w:szCs w:val="32"/>
        </w:rPr>
        <w:t>，增幅10.8</w:t>
      </w:r>
      <w:r>
        <w:rPr>
          <w:rFonts w:ascii="仿宋_GB2312" w:hAnsi="仿宋" w:eastAsia="仿宋_GB2312" w:cs="仿宋_GB2312"/>
          <w:kern w:val="1"/>
          <w:sz w:val="32"/>
          <w:szCs w:val="32"/>
        </w:rPr>
        <w:t>%</w:t>
      </w:r>
      <w:r>
        <w:rPr>
          <w:rFonts w:hint="eastAsia" w:ascii="仿宋_GB2312" w:hAnsi="仿宋" w:eastAsia="仿宋_GB2312" w:cs="仿宋_GB2312"/>
          <w:kern w:val="1"/>
          <w:sz w:val="32"/>
          <w:szCs w:val="32"/>
        </w:rPr>
        <w:t>；</w:t>
      </w:r>
    </w:p>
    <w:p>
      <w:pPr>
        <w:spacing w:line="580" w:lineRule="exact"/>
        <w:ind w:firstLine="640" w:firstLineChars="20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工业用电量1.29亿千瓦时，增幅7.5</w:t>
      </w:r>
      <w:r>
        <w:rPr>
          <w:rFonts w:ascii="仿宋_GB2312" w:hAnsi="仿宋" w:eastAsia="仿宋_GB2312" w:cs="仿宋_GB2312"/>
          <w:kern w:val="1"/>
          <w:sz w:val="32"/>
          <w:szCs w:val="32"/>
        </w:rPr>
        <w:t>%;</w:t>
      </w:r>
    </w:p>
    <w:p>
      <w:pPr>
        <w:spacing w:line="580" w:lineRule="exact"/>
        <w:ind w:firstLine="640" w:firstLineChars="20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工业增值税3亿元，排第</w:t>
      </w:r>
      <w:r>
        <w:rPr>
          <w:rFonts w:ascii="仿宋_GB2312" w:hAnsi="仿宋" w:eastAsia="仿宋_GB2312" w:cs="仿宋_GB2312"/>
          <w:kern w:val="1"/>
          <w:sz w:val="32"/>
          <w:szCs w:val="32"/>
        </w:rPr>
        <w:t>10</w:t>
      </w:r>
      <w:r>
        <w:rPr>
          <w:rFonts w:hint="eastAsia" w:ascii="仿宋_GB2312" w:hAnsi="仿宋" w:eastAsia="仿宋_GB2312" w:cs="仿宋_GB2312"/>
          <w:kern w:val="1"/>
          <w:sz w:val="32"/>
          <w:szCs w:val="32"/>
        </w:rPr>
        <w:t>位；增幅39</w:t>
      </w:r>
      <w:r>
        <w:rPr>
          <w:rFonts w:ascii="仿宋_GB2312" w:hAnsi="仿宋" w:eastAsia="仿宋_GB2312" w:cs="仿宋_GB2312"/>
          <w:kern w:val="1"/>
          <w:sz w:val="32"/>
          <w:szCs w:val="32"/>
        </w:rPr>
        <w:t>%</w:t>
      </w:r>
      <w:r>
        <w:rPr>
          <w:rFonts w:hint="eastAsia" w:ascii="仿宋_GB2312" w:hAnsi="仿宋" w:eastAsia="仿宋_GB2312" w:cs="仿宋_GB2312"/>
          <w:kern w:val="1"/>
          <w:sz w:val="32"/>
          <w:szCs w:val="32"/>
        </w:rPr>
        <w:t>;</w:t>
      </w:r>
    </w:p>
    <w:p>
      <w:pPr>
        <w:spacing w:line="580" w:lineRule="exact"/>
        <w:ind w:firstLine="640" w:firstLineChars="20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规上工业企业净增户数</w:t>
      </w:r>
      <w:r>
        <w:rPr>
          <w:rFonts w:ascii="仿宋_GB2312" w:hAnsi="仿宋" w:eastAsia="仿宋_GB2312" w:cs="仿宋_GB2312"/>
          <w:kern w:val="1"/>
          <w:sz w:val="32"/>
          <w:szCs w:val="32"/>
        </w:rPr>
        <w:t>2</w:t>
      </w:r>
      <w:r>
        <w:rPr>
          <w:rFonts w:hint="eastAsia" w:ascii="仿宋_GB2312" w:hAnsi="仿宋" w:eastAsia="仿宋_GB2312" w:cs="仿宋_GB2312"/>
          <w:kern w:val="1"/>
          <w:sz w:val="32"/>
          <w:szCs w:val="32"/>
        </w:rPr>
        <w:t>户，全市月度入规总数</w:t>
      </w:r>
      <w:r>
        <w:rPr>
          <w:rFonts w:ascii="仿宋_GB2312" w:hAnsi="仿宋" w:eastAsia="仿宋_GB2312" w:cs="仿宋_GB2312"/>
          <w:kern w:val="1"/>
          <w:sz w:val="32"/>
          <w:szCs w:val="32"/>
        </w:rPr>
        <w:t>5</w:t>
      </w:r>
      <w:r>
        <w:rPr>
          <w:rFonts w:hint="eastAsia" w:ascii="仿宋_GB2312" w:hAnsi="仿宋" w:eastAsia="仿宋_GB2312" w:cs="仿宋_GB2312"/>
          <w:kern w:val="1"/>
          <w:sz w:val="32"/>
          <w:szCs w:val="32"/>
        </w:rPr>
        <w:t>户，预计全年新增规上企业19户。</w:t>
      </w:r>
    </w:p>
    <w:p>
      <w:pPr>
        <w:spacing w:line="580" w:lineRule="exact"/>
        <w:ind w:firstLine="640" w:firstLineChars="200"/>
        <w:rPr>
          <w:rFonts w:ascii="仿宋_GB2312" w:hAnsi="仿宋" w:eastAsia="仿宋_GB2312" w:cs="仿宋_GB2312"/>
          <w:kern w:val="1"/>
          <w:sz w:val="32"/>
          <w:szCs w:val="32"/>
        </w:rPr>
      </w:pPr>
      <w:r>
        <w:rPr>
          <w:rFonts w:ascii="仿宋_GB2312" w:hAnsi="仿宋" w:eastAsia="仿宋_GB2312" w:cs="仿宋_GB2312"/>
          <w:kern w:val="1"/>
          <w:sz w:val="32"/>
          <w:szCs w:val="32"/>
        </w:rPr>
        <w:t>2</w:t>
      </w:r>
      <w:r>
        <w:rPr>
          <w:rFonts w:hint="eastAsia" w:ascii="仿宋_GB2312" w:hAnsi="仿宋" w:eastAsia="仿宋_GB2312" w:cs="仿宋_GB2312"/>
          <w:kern w:val="1"/>
          <w:sz w:val="32"/>
          <w:szCs w:val="32"/>
        </w:rPr>
        <w:t>、全市非公经济主要指标完成情况</w:t>
      </w:r>
    </w:p>
    <w:p>
      <w:pPr>
        <w:spacing w:line="580" w:lineRule="exact"/>
        <w:ind w:firstLine="640" w:firstLineChars="20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全年预计完成销售收入超</w:t>
      </w:r>
      <w:r>
        <w:rPr>
          <w:rFonts w:ascii="仿宋_GB2312" w:hAnsi="仿宋" w:eastAsia="仿宋_GB2312" w:cs="仿宋_GB2312"/>
          <w:kern w:val="1"/>
          <w:sz w:val="32"/>
          <w:szCs w:val="32"/>
        </w:rPr>
        <w:t>205</w:t>
      </w:r>
      <w:r>
        <w:rPr>
          <w:rFonts w:hint="eastAsia" w:ascii="仿宋_GB2312" w:hAnsi="仿宋" w:eastAsia="仿宋_GB2312" w:cs="仿宋_GB2312"/>
          <w:kern w:val="1"/>
          <w:sz w:val="32"/>
          <w:szCs w:val="32"/>
        </w:rPr>
        <w:t>亿元，增加超</w:t>
      </w:r>
      <w:r>
        <w:rPr>
          <w:rFonts w:ascii="仿宋_GB2312" w:hAnsi="仿宋" w:eastAsia="仿宋_GB2312" w:cs="仿宋_GB2312"/>
          <w:kern w:val="1"/>
          <w:sz w:val="32"/>
          <w:szCs w:val="32"/>
        </w:rPr>
        <w:t xml:space="preserve"> 49</w:t>
      </w:r>
      <w:r>
        <w:rPr>
          <w:rFonts w:hint="eastAsia" w:ascii="仿宋_GB2312" w:hAnsi="仿宋" w:eastAsia="仿宋_GB2312" w:cs="仿宋_GB2312"/>
          <w:kern w:val="1"/>
          <w:sz w:val="32"/>
          <w:szCs w:val="32"/>
        </w:rPr>
        <w:t>亿元，上缴税金</w:t>
      </w:r>
      <w:r>
        <w:rPr>
          <w:rFonts w:ascii="仿宋_GB2312" w:hAnsi="仿宋" w:eastAsia="仿宋_GB2312" w:cs="仿宋_GB2312"/>
          <w:kern w:val="1"/>
          <w:sz w:val="32"/>
          <w:szCs w:val="32"/>
        </w:rPr>
        <w:t>10.5</w:t>
      </w:r>
      <w:r>
        <w:rPr>
          <w:rFonts w:hint="eastAsia" w:ascii="仿宋_GB2312" w:hAnsi="仿宋" w:eastAsia="仿宋_GB2312" w:cs="仿宋_GB2312"/>
          <w:kern w:val="1"/>
          <w:sz w:val="32"/>
          <w:szCs w:val="32"/>
        </w:rPr>
        <w:t>亿元，同比增长</w:t>
      </w:r>
      <w:r>
        <w:rPr>
          <w:rFonts w:ascii="仿宋_GB2312" w:hAnsi="仿宋" w:eastAsia="仿宋_GB2312" w:cs="仿宋_GB2312"/>
          <w:kern w:val="1"/>
          <w:sz w:val="32"/>
          <w:szCs w:val="32"/>
        </w:rPr>
        <w:t>13.5%</w:t>
      </w:r>
      <w:r>
        <w:rPr>
          <w:rFonts w:hint="eastAsia" w:ascii="仿宋_GB2312" w:hAnsi="仿宋" w:eastAsia="仿宋_GB2312" w:cs="仿宋_GB2312"/>
          <w:kern w:val="1"/>
          <w:sz w:val="32"/>
          <w:szCs w:val="32"/>
        </w:rPr>
        <w:t>、</w:t>
      </w:r>
      <w:r>
        <w:rPr>
          <w:rFonts w:ascii="仿宋_GB2312" w:hAnsi="仿宋" w:eastAsia="仿宋_GB2312" w:cs="仿宋_GB2312"/>
          <w:kern w:val="1"/>
          <w:sz w:val="32"/>
          <w:szCs w:val="32"/>
        </w:rPr>
        <w:t>11.9%</w:t>
      </w:r>
      <w:r>
        <w:rPr>
          <w:rFonts w:hint="eastAsia" w:ascii="仿宋_GB2312" w:hAnsi="仿宋" w:eastAsia="仿宋_GB2312" w:cs="仿宋_GB2312"/>
          <w:kern w:val="1"/>
          <w:sz w:val="32"/>
          <w:szCs w:val="32"/>
        </w:rPr>
        <w:t>和</w:t>
      </w:r>
      <w:r>
        <w:rPr>
          <w:rFonts w:ascii="仿宋_GB2312" w:hAnsi="仿宋" w:eastAsia="仿宋_GB2312" w:cs="仿宋_GB2312"/>
          <w:kern w:val="1"/>
          <w:sz w:val="32"/>
          <w:szCs w:val="32"/>
        </w:rPr>
        <w:t>6%</w:t>
      </w:r>
      <w:r>
        <w:rPr>
          <w:rFonts w:hint="eastAsia" w:ascii="仿宋_GB2312" w:hAnsi="仿宋" w:eastAsia="仿宋_GB2312" w:cs="仿宋_GB2312"/>
          <w:kern w:val="1"/>
          <w:sz w:val="32"/>
          <w:szCs w:val="32"/>
        </w:rPr>
        <w:t>；非公经济组织总户数将超到</w:t>
      </w:r>
      <w:r>
        <w:rPr>
          <w:rFonts w:ascii="仿宋_GB2312" w:hAnsi="仿宋" w:eastAsia="仿宋_GB2312" w:cs="仿宋_GB2312"/>
          <w:kern w:val="1"/>
          <w:sz w:val="32"/>
          <w:szCs w:val="32"/>
        </w:rPr>
        <w:t>10000</w:t>
      </w:r>
      <w:r>
        <w:rPr>
          <w:rFonts w:hint="eastAsia" w:ascii="仿宋_GB2312" w:hAnsi="仿宋" w:eastAsia="仿宋_GB2312" w:cs="仿宋_GB2312"/>
          <w:kern w:val="1"/>
          <w:sz w:val="32"/>
          <w:szCs w:val="32"/>
        </w:rPr>
        <w:t>户，从业人员超</w:t>
      </w:r>
      <w:r>
        <w:rPr>
          <w:rFonts w:ascii="仿宋_GB2312" w:hAnsi="仿宋" w:eastAsia="仿宋_GB2312" w:cs="仿宋_GB2312"/>
          <w:kern w:val="1"/>
          <w:sz w:val="32"/>
          <w:szCs w:val="32"/>
        </w:rPr>
        <w:t>5.5</w:t>
      </w:r>
      <w:r>
        <w:rPr>
          <w:rFonts w:hint="eastAsia" w:ascii="仿宋_GB2312" w:hAnsi="仿宋" w:eastAsia="仿宋_GB2312" w:cs="仿宋_GB2312"/>
          <w:kern w:val="1"/>
          <w:sz w:val="32"/>
          <w:szCs w:val="32"/>
        </w:rPr>
        <w:t>万。</w:t>
      </w:r>
    </w:p>
    <w:p>
      <w:pPr>
        <w:spacing w:line="580" w:lineRule="exact"/>
        <w:ind w:firstLine="640" w:firstLineChars="200"/>
        <w:rPr>
          <w:rFonts w:ascii="仿宋_GB2312" w:hAnsi="仿宋" w:eastAsia="仿宋_GB2312" w:cs="仿宋_GB2312"/>
          <w:kern w:val="1"/>
          <w:sz w:val="32"/>
          <w:szCs w:val="32"/>
        </w:rPr>
      </w:pPr>
    </w:p>
    <w:p>
      <w:pPr>
        <w:spacing w:line="580" w:lineRule="exact"/>
        <w:ind w:firstLine="640" w:firstLineChars="200"/>
        <w:rPr>
          <w:rFonts w:ascii="仿宋_GB2312" w:hAnsi="仿宋" w:eastAsia="仿宋_GB2312" w:cs="仿宋_GB2312"/>
          <w:kern w:val="1"/>
          <w:sz w:val="32"/>
          <w:szCs w:val="32"/>
        </w:rPr>
        <w:sectPr>
          <w:headerReference r:id="rId3" w:type="default"/>
          <w:pgSz w:w="11906" w:h="16838"/>
          <w:pgMar w:top="1440" w:right="1797" w:bottom="1440" w:left="1797" w:header="851" w:footer="992" w:gutter="0"/>
          <w:cols w:space="720" w:num="1"/>
          <w:docGrid w:type="lines" w:linePitch="312" w:charSpace="0"/>
        </w:sectPr>
      </w:pPr>
    </w:p>
    <w:p>
      <w:pPr>
        <w:spacing w:line="580" w:lineRule="exact"/>
        <w:ind w:firstLine="883" w:firstLineChars="200"/>
        <w:rPr>
          <w:rFonts w:hint="eastAsia" w:ascii="仿宋_GB2312" w:hAnsi="仿宋" w:eastAsia="仿宋_GB2312" w:cs="仿宋_GB2312"/>
          <w:b/>
          <w:bCs/>
          <w:kern w:val="1"/>
          <w:sz w:val="44"/>
          <w:szCs w:val="44"/>
        </w:rPr>
      </w:pPr>
      <w:r>
        <w:rPr>
          <w:rFonts w:hint="eastAsia" w:ascii="仿宋_GB2312" w:hAnsi="仿宋" w:eastAsia="仿宋_GB2312" w:cs="仿宋_GB2312"/>
          <w:b/>
          <w:bCs/>
          <w:kern w:val="1"/>
          <w:sz w:val="44"/>
          <w:szCs w:val="44"/>
        </w:rPr>
        <w:t>第二部分：2019年度部门决算表</w:t>
      </w:r>
    </w:p>
    <w:p>
      <w:pPr>
        <w:numPr>
          <w:ilvl w:val="0"/>
          <w:numId w:val="1"/>
        </w:numPr>
        <w:spacing w:line="580" w:lineRule="exact"/>
        <w:ind w:firstLine="883" w:firstLineChars="200"/>
        <w:rPr>
          <w:rFonts w:hint="eastAsia" w:ascii="仿宋_GB2312" w:hAnsi="仿宋" w:eastAsia="仿宋_GB2312" w:cs="仿宋_GB2312"/>
          <w:b/>
          <w:bCs/>
          <w:kern w:val="1"/>
          <w:sz w:val="44"/>
          <w:szCs w:val="44"/>
          <w:lang w:val="en-US" w:eastAsia="zh-CN"/>
        </w:rPr>
      </w:pPr>
      <w:r>
        <w:rPr>
          <w:rFonts w:hint="eastAsia" w:ascii="仿宋_GB2312" w:hAnsi="仿宋" w:eastAsia="仿宋_GB2312" w:cs="仿宋_GB2312"/>
          <w:b/>
          <w:bCs/>
          <w:kern w:val="1"/>
          <w:sz w:val="44"/>
          <w:szCs w:val="44"/>
          <w:lang w:val="en-US" w:eastAsia="zh-CN"/>
        </w:rPr>
        <w:t>工信委本级：</w:t>
      </w:r>
    </w:p>
    <w:p>
      <w:pPr>
        <w:numPr>
          <w:ilvl w:val="0"/>
          <w:numId w:val="0"/>
        </w:numPr>
        <w:spacing w:line="580" w:lineRule="exact"/>
        <w:rPr>
          <w:rFonts w:hint="eastAsia" w:ascii="仿宋_GB2312" w:hAnsi="仿宋" w:eastAsia="仿宋_GB2312" w:cs="仿宋_GB2312"/>
          <w:b/>
          <w:bCs/>
          <w:kern w:val="1"/>
          <w:sz w:val="44"/>
          <w:szCs w:val="44"/>
          <w:lang w:val="en-US" w:eastAsia="zh-CN"/>
        </w:rPr>
      </w:pPr>
    </w:p>
    <w:p>
      <w:pPr>
        <w:widowControl w:val="0"/>
        <w:numPr>
          <w:ilvl w:val="0"/>
          <w:numId w:val="0"/>
        </w:numPr>
        <w:spacing w:line="580" w:lineRule="exact"/>
        <w:jc w:val="both"/>
        <w:rPr>
          <w:rFonts w:hint="eastAsia" w:ascii="仿宋_GB2312" w:hAnsi="仿宋" w:eastAsia="仿宋_GB2312" w:cs="仿宋_GB2312"/>
          <w:b/>
          <w:bCs/>
          <w:kern w:val="1"/>
          <w:sz w:val="44"/>
          <w:szCs w:val="44"/>
          <w:lang w:val="en-US" w:eastAsia="zh-CN"/>
        </w:rPr>
      </w:pPr>
    </w:p>
    <w:tbl>
      <w:tblPr>
        <w:tblStyle w:val="5"/>
        <w:tblpPr w:leftFromText="180" w:rightFromText="180" w:vertAnchor="text" w:horzAnchor="page" w:tblpX="1862" w:tblpY="16"/>
        <w:tblOverlap w:val="never"/>
        <w:tblW w:w="12960" w:type="dxa"/>
        <w:tblInd w:w="0" w:type="dxa"/>
        <w:tblLayout w:type="fixed"/>
        <w:tblCellMar>
          <w:top w:w="0" w:type="dxa"/>
          <w:left w:w="0" w:type="dxa"/>
          <w:bottom w:w="0" w:type="dxa"/>
          <w:right w:w="0" w:type="dxa"/>
        </w:tblCellMar>
      </w:tblPr>
      <w:tblGrid>
        <w:gridCol w:w="3500"/>
        <w:gridCol w:w="802"/>
        <w:gridCol w:w="1682"/>
        <w:gridCol w:w="3381"/>
        <w:gridCol w:w="672"/>
        <w:gridCol w:w="2923"/>
      </w:tblGrid>
      <w:tr>
        <w:tblPrEx>
          <w:tblCellMar>
            <w:top w:w="0" w:type="dxa"/>
            <w:left w:w="0" w:type="dxa"/>
            <w:bottom w:w="0" w:type="dxa"/>
            <w:right w:w="0" w:type="dxa"/>
          </w:tblCellMar>
        </w:tblPrEx>
        <w:trPr>
          <w:trHeight w:val="648" w:hRule="atLeast"/>
        </w:trPr>
        <w:tc>
          <w:tcPr>
            <w:tcW w:w="12960" w:type="dxa"/>
            <w:gridSpan w:val="6"/>
            <w:tcBorders>
              <w:top w:val="nil"/>
              <w:left w:val="nil"/>
              <w:bottom w:val="nil"/>
              <w:right w:val="nil"/>
            </w:tcBorders>
            <w:shd w:val="clear" w:color="auto" w:fill="auto"/>
            <w:noWrap/>
            <w:tcMar>
              <w:top w:w="12" w:type="dxa"/>
              <w:left w:w="12" w:type="dxa"/>
              <w:right w:w="12" w:type="dxa"/>
            </w:tcMar>
            <w:vAlign w:val="bottom"/>
          </w:tcPr>
          <w:p>
            <w:pPr>
              <w:jc w:val="center"/>
              <w:rPr>
                <w:rFonts w:ascii="Arial" w:hAnsi="Arial" w:cs="Arial"/>
                <w:color w:val="000000"/>
                <w:sz w:val="20"/>
                <w:szCs w:val="20"/>
              </w:rPr>
            </w:pPr>
            <w:r>
              <w:rPr>
                <w:rFonts w:hint="eastAsia" w:ascii="宋体" w:hAnsi="宋体" w:cs="宋体"/>
                <w:color w:val="000000"/>
                <w:kern w:val="0"/>
                <w:sz w:val="44"/>
                <w:szCs w:val="44"/>
              </w:rPr>
              <w:t>收入支出决算总表</w:t>
            </w:r>
          </w:p>
        </w:tc>
      </w:tr>
      <w:tr>
        <w:tblPrEx>
          <w:tblCellMar>
            <w:top w:w="0" w:type="dxa"/>
            <w:left w:w="0" w:type="dxa"/>
            <w:bottom w:w="0" w:type="dxa"/>
            <w:right w:w="0" w:type="dxa"/>
          </w:tblCellMar>
        </w:tblPrEx>
        <w:trPr>
          <w:trHeight w:val="330" w:hRule="atLeast"/>
        </w:trPr>
        <w:tc>
          <w:tcPr>
            <w:tcW w:w="350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80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68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3381"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67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2923" w:type="dxa"/>
            <w:tcBorders>
              <w:top w:val="nil"/>
              <w:left w:val="nil"/>
              <w:bottom w:val="nil"/>
              <w:right w:val="nil"/>
            </w:tcBorders>
            <w:shd w:val="clear" w:color="auto" w:fill="auto"/>
            <w:noWrap/>
            <w:tcMar>
              <w:top w:w="12" w:type="dxa"/>
              <w:left w:w="12" w:type="dxa"/>
              <w:right w:w="12" w:type="dxa"/>
            </w:tcMar>
            <w:vAlign w:val="bottom"/>
          </w:tcPr>
          <w:p>
            <w:pPr>
              <w:widowControl/>
              <w:jc w:val="right"/>
              <w:textAlignment w:val="bottom"/>
              <w:rPr>
                <w:rFonts w:ascii="宋体" w:hAnsi="宋体" w:cs="宋体"/>
                <w:color w:val="000000"/>
                <w:sz w:val="20"/>
                <w:szCs w:val="20"/>
              </w:rPr>
            </w:pPr>
            <w:r>
              <w:rPr>
                <w:rFonts w:hint="eastAsia" w:ascii="宋体" w:hAnsi="宋体" w:cs="宋体"/>
                <w:color w:val="000000"/>
                <w:kern w:val="0"/>
                <w:sz w:val="20"/>
                <w:szCs w:val="20"/>
              </w:rPr>
              <w:t>金额单位：元</w:t>
            </w:r>
          </w:p>
        </w:tc>
      </w:tr>
      <w:tr>
        <w:tblPrEx>
          <w:tblCellMar>
            <w:top w:w="0" w:type="dxa"/>
            <w:left w:w="0" w:type="dxa"/>
            <w:bottom w:w="0" w:type="dxa"/>
            <w:right w:w="0" w:type="dxa"/>
          </w:tblCellMar>
        </w:tblPrEx>
        <w:trPr>
          <w:trHeight w:val="330" w:hRule="atLeast"/>
        </w:trPr>
        <w:tc>
          <w:tcPr>
            <w:tcW w:w="4302" w:type="dxa"/>
            <w:gridSpan w:val="2"/>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r>
              <w:rPr>
                <w:rFonts w:hint="eastAsia" w:ascii="宋体" w:hAnsi="宋体" w:cs="宋体"/>
                <w:color w:val="000000"/>
                <w:kern w:val="0"/>
                <w:sz w:val="20"/>
                <w:szCs w:val="20"/>
              </w:rPr>
              <w:t>编制单位：庐山市工业和信息化委员会（本级）</w:t>
            </w:r>
          </w:p>
        </w:tc>
        <w:tc>
          <w:tcPr>
            <w:tcW w:w="5063" w:type="dxa"/>
            <w:gridSpan w:val="2"/>
            <w:tcBorders>
              <w:top w:val="nil"/>
              <w:left w:val="nil"/>
              <w:bottom w:val="nil"/>
              <w:right w:val="nil"/>
            </w:tcBorders>
            <w:shd w:val="clear" w:color="auto" w:fill="auto"/>
            <w:noWrap/>
            <w:tcMar>
              <w:top w:w="12" w:type="dxa"/>
              <w:left w:w="12" w:type="dxa"/>
              <w:right w:w="12" w:type="dxa"/>
            </w:tcMar>
            <w:vAlign w:val="bottom"/>
          </w:tcPr>
          <w:p>
            <w:pPr>
              <w:jc w:val="center"/>
              <w:rPr>
                <w:rFonts w:ascii="Arial" w:hAnsi="Arial" w:cs="Arial"/>
                <w:color w:val="000000"/>
                <w:sz w:val="20"/>
                <w:szCs w:val="20"/>
              </w:rPr>
            </w:pPr>
            <w:r>
              <w:rPr>
                <w:rFonts w:hint="eastAsia" w:ascii="宋体" w:hAnsi="宋体" w:cs="宋体"/>
                <w:color w:val="000000"/>
                <w:kern w:val="0"/>
                <w:sz w:val="20"/>
                <w:szCs w:val="20"/>
              </w:rPr>
              <w:t>2019年度</w:t>
            </w:r>
          </w:p>
        </w:tc>
        <w:tc>
          <w:tcPr>
            <w:tcW w:w="67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2923" w:type="dxa"/>
            <w:tcBorders>
              <w:top w:val="nil"/>
              <w:left w:val="nil"/>
              <w:bottom w:val="nil"/>
              <w:right w:val="nil"/>
            </w:tcBorders>
            <w:shd w:val="clear" w:color="auto" w:fill="auto"/>
            <w:noWrap/>
            <w:tcMar>
              <w:top w:w="12" w:type="dxa"/>
              <w:left w:w="12" w:type="dxa"/>
              <w:right w:w="12" w:type="dxa"/>
            </w:tcMar>
            <w:vAlign w:val="bottom"/>
          </w:tcPr>
          <w:p>
            <w:pPr>
              <w:widowControl/>
              <w:jc w:val="right"/>
              <w:textAlignment w:val="bottom"/>
              <w:rPr>
                <w:rFonts w:ascii="宋体" w:hAnsi="宋体" w:cs="宋体"/>
                <w:color w:val="000000"/>
                <w:sz w:val="20"/>
                <w:szCs w:val="20"/>
              </w:rPr>
            </w:pPr>
            <w:r>
              <w:rPr>
                <w:rFonts w:hint="eastAsia" w:ascii="宋体" w:hAnsi="宋体" w:cs="宋体"/>
                <w:color w:val="000000"/>
                <w:kern w:val="0"/>
                <w:sz w:val="20"/>
                <w:szCs w:val="20"/>
              </w:rPr>
              <w:t>公开01表</w:t>
            </w:r>
          </w:p>
        </w:tc>
      </w:tr>
      <w:tr>
        <w:tblPrEx>
          <w:tblCellMar>
            <w:top w:w="0" w:type="dxa"/>
            <w:left w:w="0" w:type="dxa"/>
            <w:bottom w:w="0" w:type="dxa"/>
            <w:right w:w="0" w:type="dxa"/>
          </w:tblCellMar>
        </w:tblPrEx>
        <w:trPr>
          <w:trHeight w:val="340" w:hRule="atLeast"/>
        </w:trPr>
        <w:tc>
          <w:tcPr>
            <w:tcW w:w="5984" w:type="dxa"/>
            <w:gridSpan w:val="3"/>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收     入</w:t>
            </w:r>
          </w:p>
        </w:tc>
        <w:tc>
          <w:tcPr>
            <w:tcW w:w="6976" w:type="dxa"/>
            <w:gridSpan w:val="3"/>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支     出</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项    目</w:t>
            </w: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行次</w:t>
            </w:r>
          </w:p>
        </w:tc>
        <w:tc>
          <w:tcPr>
            <w:tcW w:w="168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决算数</w:t>
            </w: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项目（按功能分类）</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行次</w:t>
            </w:r>
          </w:p>
        </w:tc>
        <w:tc>
          <w:tcPr>
            <w:tcW w:w="2923"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决算数</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栏    次</w:t>
            </w: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68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w:t>
            </w: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栏    次</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2923"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6</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一、一般公共预算财政拨款收入</w:t>
            </w: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3,469,957.54</w:t>
            </w: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一、一般公共服务支出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二、政府性基金预算财政拨款收入</w:t>
            </w: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700,000.00</w:t>
            </w: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二、外交支出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32</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三、上级补助收入</w:t>
            </w: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三、国防支出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33</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四、事业收入</w:t>
            </w: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四、公共安全支出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34</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五、经营收入</w:t>
            </w: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五、教育支出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35</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六、附属单位上缴收入</w:t>
            </w: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6</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六、科学技术支出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36</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七、其他收入</w:t>
            </w: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7</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150,270.00</w:t>
            </w: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七、文化旅游体育与传媒支出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37</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8</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八、社会保障和就业支出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38</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762,633.43</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9</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九、卫生健康支出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39</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213,560.26</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10</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十、节能环保支出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40</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11</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十一、城乡社区支出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41</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12</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十二、农林水支出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42</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13</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十三、交通运输支出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43</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14</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十四、资源勘探信息等支出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44</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2,500,203.51</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15</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十五、商业服务业等支出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45</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16</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十六、金融支出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46</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17</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十七、援助其他地区支出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47</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18</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十八、自然资源海洋气象等支出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48</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19</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十九、住房保障支出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49</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20</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二十、粮油物资储备支出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50</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21</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二十一、灾害防治及应急管理支出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51</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22</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二十二、其他支出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52</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214,737.82</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23</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二十三、债务还本支出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53</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24</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二十四、债务付息支出</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54</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25</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55</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本年收入合计</w:t>
            </w: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26</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4,320,227.54</w:t>
            </w: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本年支出合计</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56</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3,762,699.02</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用事业基金弥补收支差额</w:t>
            </w: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27</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结余分配                 </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57</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年初结转和结余</w:t>
            </w: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28</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507,409.09</w:t>
            </w: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年末结转和结余                                </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58</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1,064,937.61</w:t>
            </w:r>
          </w:p>
        </w:tc>
      </w:tr>
      <w:tr>
        <w:tblPrEx>
          <w:tblCellMar>
            <w:top w:w="0" w:type="dxa"/>
            <w:left w:w="0" w:type="dxa"/>
            <w:bottom w:w="0" w:type="dxa"/>
            <w:right w:w="0" w:type="dxa"/>
          </w:tblCellMar>
        </w:tblPrEx>
        <w:trPr>
          <w:trHeight w:val="34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29</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59</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r>
      <w:tr>
        <w:tblPrEx>
          <w:tblCellMar>
            <w:top w:w="0" w:type="dxa"/>
            <w:left w:w="0" w:type="dxa"/>
            <w:bottom w:w="0" w:type="dxa"/>
            <w:right w:w="0" w:type="dxa"/>
          </w:tblCellMar>
        </w:tblPrEx>
        <w:trPr>
          <w:trHeight w:val="350" w:hRule="atLeast"/>
        </w:trPr>
        <w:tc>
          <w:tcPr>
            <w:tcW w:w="350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总计</w:t>
            </w:r>
          </w:p>
        </w:tc>
        <w:tc>
          <w:tcPr>
            <w:tcW w:w="80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w:t>
            </w:r>
          </w:p>
        </w:tc>
        <w:tc>
          <w:tcPr>
            <w:tcW w:w="168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4,827,636.63</w:t>
            </w:r>
          </w:p>
        </w:tc>
        <w:tc>
          <w:tcPr>
            <w:tcW w:w="3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总计</w:t>
            </w:r>
          </w:p>
        </w:tc>
        <w:tc>
          <w:tcPr>
            <w:tcW w:w="67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60</w:t>
            </w:r>
          </w:p>
        </w:tc>
        <w:tc>
          <w:tcPr>
            <w:tcW w:w="292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4,827,636.63</w:t>
            </w:r>
          </w:p>
        </w:tc>
      </w:tr>
    </w:tbl>
    <w:p>
      <w:pPr>
        <w:widowControl w:val="0"/>
        <w:numPr>
          <w:ilvl w:val="0"/>
          <w:numId w:val="0"/>
        </w:numPr>
        <w:spacing w:line="580" w:lineRule="exact"/>
        <w:jc w:val="both"/>
        <w:rPr>
          <w:rFonts w:hint="eastAsia" w:ascii="仿宋_GB2312" w:hAnsi="仿宋" w:eastAsia="仿宋_GB2312" w:cs="仿宋_GB2312"/>
          <w:b/>
          <w:bCs/>
          <w:kern w:val="1"/>
          <w:sz w:val="44"/>
          <w:szCs w:val="44"/>
          <w:lang w:val="en-US" w:eastAsia="zh-CN"/>
        </w:rPr>
      </w:pPr>
    </w:p>
    <w:p>
      <w:pPr>
        <w:widowControl w:val="0"/>
        <w:numPr>
          <w:ilvl w:val="0"/>
          <w:numId w:val="0"/>
        </w:numPr>
        <w:spacing w:line="580" w:lineRule="exact"/>
        <w:jc w:val="both"/>
        <w:rPr>
          <w:rFonts w:hint="eastAsia" w:ascii="仿宋_GB2312" w:hAnsi="仿宋" w:eastAsia="仿宋_GB2312" w:cs="仿宋_GB2312"/>
          <w:b/>
          <w:bCs/>
          <w:kern w:val="1"/>
          <w:sz w:val="44"/>
          <w:szCs w:val="44"/>
          <w:lang w:val="en-US" w:eastAsia="zh-CN"/>
        </w:rPr>
      </w:pPr>
    </w:p>
    <w:p>
      <w:pPr>
        <w:widowControl w:val="0"/>
        <w:numPr>
          <w:ilvl w:val="0"/>
          <w:numId w:val="0"/>
        </w:numPr>
        <w:spacing w:line="580" w:lineRule="exact"/>
        <w:jc w:val="both"/>
        <w:rPr>
          <w:rFonts w:hint="eastAsia" w:ascii="仿宋_GB2312" w:hAnsi="仿宋" w:eastAsia="仿宋_GB2312" w:cs="仿宋_GB2312"/>
          <w:b/>
          <w:bCs/>
          <w:kern w:val="1"/>
          <w:sz w:val="44"/>
          <w:szCs w:val="44"/>
          <w:lang w:val="en-US" w:eastAsia="zh-CN"/>
        </w:rPr>
      </w:pPr>
    </w:p>
    <w:p>
      <w:pPr>
        <w:widowControl w:val="0"/>
        <w:numPr>
          <w:ilvl w:val="0"/>
          <w:numId w:val="0"/>
        </w:numPr>
        <w:spacing w:line="580" w:lineRule="exact"/>
        <w:jc w:val="both"/>
        <w:rPr>
          <w:rFonts w:hint="eastAsia" w:ascii="仿宋_GB2312" w:hAnsi="仿宋" w:eastAsia="仿宋_GB2312" w:cs="仿宋_GB2312"/>
          <w:b/>
          <w:bCs/>
          <w:kern w:val="1"/>
          <w:sz w:val="44"/>
          <w:szCs w:val="44"/>
          <w:lang w:val="en-US" w:eastAsia="zh-CN"/>
        </w:rPr>
      </w:pPr>
    </w:p>
    <w:p>
      <w:pPr>
        <w:widowControl w:val="0"/>
        <w:numPr>
          <w:ilvl w:val="0"/>
          <w:numId w:val="0"/>
        </w:numPr>
        <w:spacing w:line="580" w:lineRule="exact"/>
        <w:jc w:val="both"/>
        <w:rPr>
          <w:rFonts w:hint="eastAsia" w:ascii="仿宋_GB2312" w:hAnsi="仿宋" w:eastAsia="仿宋_GB2312" w:cs="仿宋_GB2312"/>
          <w:b/>
          <w:bCs/>
          <w:kern w:val="1"/>
          <w:sz w:val="44"/>
          <w:szCs w:val="44"/>
          <w:lang w:val="en-US" w:eastAsia="zh-CN"/>
        </w:rPr>
      </w:pPr>
    </w:p>
    <w:p>
      <w:pPr>
        <w:widowControl w:val="0"/>
        <w:numPr>
          <w:ilvl w:val="0"/>
          <w:numId w:val="0"/>
        </w:numPr>
        <w:spacing w:line="580" w:lineRule="exact"/>
        <w:jc w:val="both"/>
        <w:rPr>
          <w:rFonts w:hint="eastAsia" w:ascii="仿宋_GB2312" w:hAnsi="仿宋" w:eastAsia="仿宋_GB2312" w:cs="仿宋_GB2312"/>
          <w:b/>
          <w:bCs/>
          <w:kern w:val="1"/>
          <w:sz w:val="44"/>
          <w:szCs w:val="44"/>
          <w:lang w:val="en-US" w:eastAsia="zh-CN"/>
        </w:rPr>
      </w:pPr>
    </w:p>
    <w:p>
      <w:pPr>
        <w:spacing w:line="580" w:lineRule="exact"/>
        <w:rPr>
          <w:rFonts w:hint="eastAsia" w:ascii="仿宋_GB2312" w:hAnsi="仿宋" w:eastAsia="仿宋_GB2312" w:cs="仿宋_GB2312"/>
          <w:b/>
          <w:bCs/>
          <w:kern w:val="1"/>
          <w:sz w:val="44"/>
          <w:szCs w:val="44"/>
          <w:lang w:eastAsia="zh-CN"/>
        </w:rPr>
      </w:pPr>
    </w:p>
    <w:p>
      <w:pPr>
        <w:spacing w:line="580" w:lineRule="exact"/>
        <w:rPr>
          <w:rFonts w:ascii="仿宋_GB2312" w:hAnsi="仿宋" w:eastAsia="仿宋_GB2312" w:cs="仿宋_GB2312"/>
          <w:kern w:val="1"/>
          <w:sz w:val="44"/>
          <w:szCs w:val="44"/>
        </w:rPr>
      </w:pPr>
    </w:p>
    <w:p>
      <w:pPr>
        <w:spacing w:line="580" w:lineRule="exact"/>
        <w:rPr>
          <w:rFonts w:ascii="仿宋_GB2312" w:hAnsi="仿宋" w:eastAsia="仿宋_GB2312" w:cs="仿宋_GB2312"/>
          <w:kern w:val="1"/>
          <w:sz w:val="36"/>
          <w:szCs w:val="36"/>
        </w:rPr>
      </w:pPr>
    </w:p>
    <w:p>
      <w:pPr>
        <w:spacing w:line="580" w:lineRule="exact"/>
        <w:rPr>
          <w:rFonts w:ascii="仿宋_GB2312" w:hAnsi="仿宋" w:eastAsia="仿宋_GB2312" w:cs="仿宋_GB2312"/>
          <w:kern w:val="1"/>
          <w:sz w:val="36"/>
          <w:szCs w:val="36"/>
        </w:rPr>
      </w:pPr>
    </w:p>
    <w:p>
      <w:pPr>
        <w:spacing w:line="580" w:lineRule="exact"/>
        <w:rPr>
          <w:rFonts w:ascii="仿宋_GB2312" w:hAnsi="仿宋" w:eastAsia="仿宋_GB2312" w:cs="仿宋_GB2312"/>
          <w:kern w:val="1"/>
          <w:sz w:val="36"/>
          <w:szCs w:val="36"/>
        </w:rPr>
      </w:pPr>
    </w:p>
    <w:p>
      <w:pPr>
        <w:spacing w:line="580" w:lineRule="exact"/>
        <w:rPr>
          <w:rFonts w:ascii="仿宋_GB2312" w:hAnsi="仿宋" w:eastAsia="仿宋_GB2312" w:cs="仿宋_GB2312"/>
          <w:kern w:val="1"/>
          <w:sz w:val="36"/>
          <w:szCs w:val="36"/>
        </w:rPr>
      </w:pPr>
    </w:p>
    <w:p>
      <w:pPr>
        <w:spacing w:line="580" w:lineRule="exact"/>
        <w:rPr>
          <w:rFonts w:ascii="仿宋_GB2312" w:hAnsi="仿宋" w:eastAsia="仿宋_GB2312" w:cs="仿宋_GB2312"/>
          <w:kern w:val="1"/>
          <w:sz w:val="36"/>
          <w:szCs w:val="36"/>
        </w:rPr>
      </w:pPr>
    </w:p>
    <w:tbl>
      <w:tblPr>
        <w:tblStyle w:val="5"/>
        <w:tblW w:w="13888" w:type="dxa"/>
        <w:tblInd w:w="0" w:type="dxa"/>
        <w:tblLayout w:type="fixed"/>
        <w:tblCellMar>
          <w:top w:w="0" w:type="dxa"/>
          <w:left w:w="0" w:type="dxa"/>
          <w:bottom w:w="0" w:type="dxa"/>
          <w:right w:w="0" w:type="dxa"/>
        </w:tblCellMar>
      </w:tblPr>
      <w:tblGrid>
        <w:gridCol w:w="744"/>
        <w:gridCol w:w="403"/>
        <w:gridCol w:w="360"/>
        <w:gridCol w:w="3805"/>
        <w:gridCol w:w="1509"/>
        <w:gridCol w:w="1457"/>
        <w:gridCol w:w="827"/>
        <w:gridCol w:w="821"/>
        <w:gridCol w:w="905"/>
        <w:gridCol w:w="805"/>
        <w:gridCol w:w="937"/>
        <w:gridCol w:w="1315"/>
      </w:tblGrid>
      <w:tr>
        <w:tblPrEx>
          <w:tblCellMar>
            <w:top w:w="0" w:type="dxa"/>
            <w:left w:w="0" w:type="dxa"/>
            <w:bottom w:w="0" w:type="dxa"/>
            <w:right w:w="0" w:type="dxa"/>
          </w:tblCellMar>
        </w:tblPrEx>
        <w:trPr>
          <w:trHeight w:val="566" w:hRule="atLeast"/>
        </w:trPr>
        <w:tc>
          <w:tcPr>
            <w:tcW w:w="13888" w:type="dxa"/>
            <w:gridSpan w:val="12"/>
            <w:tcBorders>
              <w:top w:val="nil"/>
              <w:left w:val="nil"/>
              <w:bottom w:val="nil"/>
              <w:right w:val="nil"/>
            </w:tcBorders>
            <w:shd w:val="clear" w:color="auto" w:fill="auto"/>
            <w:noWrap/>
            <w:tcMar>
              <w:top w:w="12" w:type="dxa"/>
              <w:left w:w="12" w:type="dxa"/>
              <w:right w:w="12" w:type="dxa"/>
            </w:tcMar>
            <w:vAlign w:val="bottom"/>
          </w:tcPr>
          <w:p>
            <w:pPr>
              <w:widowControl/>
              <w:jc w:val="center"/>
              <w:textAlignment w:val="bottom"/>
              <w:rPr>
                <w:rFonts w:hint="eastAsia" w:ascii="宋体" w:hAnsi="宋体" w:cs="宋体"/>
                <w:color w:val="000000"/>
                <w:kern w:val="0"/>
                <w:sz w:val="44"/>
                <w:szCs w:val="44"/>
              </w:rPr>
            </w:pPr>
          </w:p>
          <w:p>
            <w:pPr>
              <w:widowControl/>
              <w:jc w:val="center"/>
              <w:textAlignment w:val="bottom"/>
              <w:rPr>
                <w:rFonts w:ascii="宋体" w:hAnsi="宋体" w:cs="宋体"/>
                <w:color w:val="000000"/>
                <w:sz w:val="44"/>
                <w:szCs w:val="44"/>
              </w:rPr>
            </w:pPr>
            <w:r>
              <w:rPr>
                <w:rFonts w:hint="eastAsia" w:ascii="宋体" w:hAnsi="宋体" w:cs="宋体"/>
                <w:color w:val="000000"/>
                <w:kern w:val="0"/>
                <w:sz w:val="44"/>
                <w:szCs w:val="44"/>
              </w:rPr>
              <w:t>收入决算表</w:t>
            </w:r>
          </w:p>
        </w:tc>
      </w:tr>
      <w:tr>
        <w:tblPrEx>
          <w:tblCellMar>
            <w:top w:w="0" w:type="dxa"/>
            <w:left w:w="0" w:type="dxa"/>
            <w:bottom w:w="0" w:type="dxa"/>
            <w:right w:w="0" w:type="dxa"/>
          </w:tblCellMar>
        </w:tblPrEx>
        <w:trPr>
          <w:trHeight w:val="355" w:hRule="atLeast"/>
        </w:trPr>
        <w:tc>
          <w:tcPr>
            <w:tcW w:w="744"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403"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36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380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509"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457"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827"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821"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90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80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2252" w:type="dxa"/>
            <w:gridSpan w:val="2"/>
            <w:tcBorders>
              <w:top w:val="nil"/>
              <w:left w:val="nil"/>
              <w:bottom w:val="nil"/>
              <w:right w:val="nil"/>
            </w:tcBorders>
            <w:shd w:val="clear" w:color="auto" w:fill="auto"/>
            <w:noWrap/>
            <w:tcMar>
              <w:top w:w="12" w:type="dxa"/>
              <w:left w:w="12" w:type="dxa"/>
              <w:right w:w="12" w:type="dxa"/>
            </w:tcMar>
            <w:vAlign w:val="bottom"/>
          </w:tcPr>
          <w:p>
            <w:pPr>
              <w:widowControl/>
              <w:jc w:val="right"/>
              <w:textAlignment w:val="bottom"/>
              <w:rPr>
                <w:rFonts w:ascii="宋体" w:hAnsi="宋体" w:cs="宋体"/>
                <w:color w:val="000000"/>
                <w:sz w:val="20"/>
                <w:szCs w:val="20"/>
              </w:rPr>
            </w:pPr>
            <w:r>
              <w:rPr>
                <w:rFonts w:hint="eastAsia" w:ascii="宋体" w:hAnsi="宋体" w:cs="宋体"/>
                <w:color w:val="000000"/>
                <w:kern w:val="0"/>
                <w:sz w:val="20"/>
                <w:szCs w:val="20"/>
              </w:rPr>
              <w:t>金额单位：元</w:t>
            </w:r>
          </w:p>
        </w:tc>
      </w:tr>
      <w:tr>
        <w:tblPrEx>
          <w:tblCellMar>
            <w:top w:w="0" w:type="dxa"/>
            <w:left w:w="0" w:type="dxa"/>
            <w:bottom w:w="0" w:type="dxa"/>
            <w:right w:w="0" w:type="dxa"/>
          </w:tblCellMar>
        </w:tblPrEx>
        <w:trPr>
          <w:trHeight w:val="399" w:hRule="atLeast"/>
        </w:trPr>
        <w:tc>
          <w:tcPr>
            <w:tcW w:w="5312" w:type="dxa"/>
            <w:gridSpan w:val="4"/>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r>
              <w:rPr>
                <w:rFonts w:hint="eastAsia" w:ascii="宋体" w:hAnsi="宋体" w:cs="宋体"/>
                <w:color w:val="000000"/>
                <w:kern w:val="0"/>
                <w:sz w:val="20"/>
                <w:szCs w:val="20"/>
              </w:rPr>
              <w:t>编制单位：庐山市工业和信息化委员会（本级）</w:t>
            </w:r>
          </w:p>
        </w:tc>
        <w:tc>
          <w:tcPr>
            <w:tcW w:w="3793" w:type="dxa"/>
            <w:gridSpan w:val="3"/>
            <w:tcBorders>
              <w:top w:val="nil"/>
              <w:left w:val="nil"/>
              <w:bottom w:val="nil"/>
              <w:right w:val="nil"/>
            </w:tcBorders>
            <w:shd w:val="clear" w:color="auto" w:fill="auto"/>
            <w:noWrap/>
            <w:tcMar>
              <w:top w:w="12" w:type="dxa"/>
              <w:left w:w="12" w:type="dxa"/>
              <w:right w:w="12" w:type="dxa"/>
            </w:tcMar>
            <w:vAlign w:val="bottom"/>
          </w:tcPr>
          <w:p>
            <w:pPr>
              <w:widowControl/>
              <w:jc w:val="center"/>
              <w:textAlignment w:val="bottom"/>
              <w:rPr>
                <w:rFonts w:ascii="宋体" w:hAnsi="宋体" w:cs="宋体"/>
                <w:color w:val="000000"/>
                <w:sz w:val="20"/>
                <w:szCs w:val="20"/>
              </w:rPr>
            </w:pPr>
            <w:r>
              <w:rPr>
                <w:rFonts w:hint="eastAsia" w:ascii="宋体" w:hAnsi="宋体" w:cs="宋体"/>
                <w:color w:val="000000"/>
                <w:kern w:val="0"/>
                <w:sz w:val="20"/>
                <w:szCs w:val="20"/>
              </w:rPr>
              <w:t>2019年度</w:t>
            </w:r>
          </w:p>
        </w:tc>
        <w:tc>
          <w:tcPr>
            <w:tcW w:w="821"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90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80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2252" w:type="dxa"/>
            <w:gridSpan w:val="2"/>
            <w:tcBorders>
              <w:top w:val="nil"/>
              <w:left w:val="nil"/>
              <w:bottom w:val="nil"/>
              <w:right w:val="nil"/>
            </w:tcBorders>
            <w:shd w:val="clear" w:color="auto" w:fill="auto"/>
            <w:noWrap/>
            <w:tcMar>
              <w:top w:w="12" w:type="dxa"/>
              <w:left w:w="12" w:type="dxa"/>
              <w:right w:w="12" w:type="dxa"/>
            </w:tcMar>
            <w:vAlign w:val="bottom"/>
          </w:tcPr>
          <w:p>
            <w:pPr>
              <w:widowControl/>
              <w:jc w:val="right"/>
              <w:textAlignment w:val="bottom"/>
              <w:rPr>
                <w:rFonts w:ascii="宋体" w:hAnsi="宋体" w:cs="宋体"/>
                <w:color w:val="000000"/>
                <w:sz w:val="20"/>
                <w:szCs w:val="20"/>
              </w:rPr>
            </w:pPr>
            <w:r>
              <w:rPr>
                <w:rFonts w:hint="eastAsia" w:ascii="宋体" w:hAnsi="宋体" w:cs="宋体"/>
                <w:color w:val="000000"/>
                <w:kern w:val="0"/>
                <w:sz w:val="20"/>
                <w:szCs w:val="20"/>
              </w:rPr>
              <w:t>公开02表</w:t>
            </w:r>
          </w:p>
        </w:tc>
      </w:tr>
      <w:tr>
        <w:tblPrEx>
          <w:tblCellMar>
            <w:top w:w="0" w:type="dxa"/>
            <w:left w:w="0" w:type="dxa"/>
            <w:bottom w:w="0" w:type="dxa"/>
            <w:right w:w="0" w:type="dxa"/>
          </w:tblCellMar>
        </w:tblPrEx>
        <w:trPr>
          <w:trHeight w:val="298" w:hRule="atLeast"/>
        </w:trPr>
        <w:tc>
          <w:tcPr>
            <w:tcW w:w="5312" w:type="dxa"/>
            <w:gridSpan w:val="4"/>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项    目</w:t>
            </w:r>
          </w:p>
        </w:tc>
        <w:tc>
          <w:tcPr>
            <w:tcW w:w="1509" w:type="dxa"/>
            <w:vMerge w:val="restart"/>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本年收入合计</w:t>
            </w:r>
          </w:p>
        </w:tc>
        <w:tc>
          <w:tcPr>
            <w:tcW w:w="1457" w:type="dxa"/>
            <w:vMerge w:val="restart"/>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财政拨款收入</w:t>
            </w:r>
          </w:p>
        </w:tc>
        <w:tc>
          <w:tcPr>
            <w:tcW w:w="827" w:type="dxa"/>
            <w:vMerge w:val="restart"/>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上级补助收入</w:t>
            </w:r>
          </w:p>
        </w:tc>
        <w:tc>
          <w:tcPr>
            <w:tcW w:w="1726" w:type="dxa"/>
            <w:gridSpan w:val="2"/>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事业收入</w:t>
            </w:r>
          </w:p>
        </w:tc>
        <w:tc>
          <w:tcPr>
            <w:tcW w:w="805" w:type="dxa"/>
            <w:vMerge w:val="restart"/>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经营收入</w:t>
            </w:r>
          </w:p>
        </w:tc>
        <w:tc>
          <w:tcPr>
            <w:tcW w:w="937" w:type="dxa"/>
            <w:vMerge w:val="restart"/>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附属单位上缴收入</w:t>
            </w:r>
          </w:p>
        </w:tc>
        <w:tc>
          <w:tcPr>
            <w:tcW w:w="1315" w:type="dxa"/>
            <w:vMerge w:val="restart"/>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其他收入</w:t>
            </w:r>
          </w:p>
        </w:tc>
      </w:tr>
      <w:tr>
        <w:tblPrEx>
          <w:tblCellMar>
            <w:top w:w="0" w:type="dxa"/>
            <w:left w:w="0" w:type="dxa"/>
            <w:bottom w:w="0" w:type="dxa"/>
            <w:right w:w="0" w:type="dxa"/>
          </w:tblCellMar>
        </w:tblPrEx>
        <w:trPr>
          <w:trHeight w:val="312" w:hRule="atLeast"/>
        </w:trPr>
        <w:tc>
          <w:tcPr>
            <w:tcW w:w="1507" w:type="dxa"/>
            <w:gridSpan w:val="3"/>
            <w:vMerge w:val="restart"/>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支出功能分类科目编码</w:t>
            </w:r>
          </w:p>
        </w:tc>
        <w:tc>
          <w:tcPr>
            <w:tcW w:w="3805"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科目名称</w:t>
            </w:r>
          </w:p>
        </w:tc>
        <w:tc>
          <w:tcPr>
            <w:tcW w:w="1509"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457"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827"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821"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小计</w:t>
            </w:r>
          </w:p>
        </w:tc>
        <w:tc>
          <w:tcPr>
            <w:tcW w:w="905"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其中：教育收费</w:t>
            </w:r>
          </w:p>
        </w:tc>
        <w:tc>
          <w:tcPr>
            <w:tcW w:w="805"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937"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315"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r>
      <w:tr>
        <w:tblPrEx>
          <w:tblCellMar>
            <w:top w:w="0" w:type="dxa"/>
            <w:left w:w="0" w:type="dxa"/>
            <w:bottom w:w="0" w:type="dxa"/>
            <w:right w:w="0" w:type="dxa"/>
          </w:tblCellMar>
        </w:tblPrEx>
        <w:trPr>
          <w:trHeight w:val="312" w:hRule="atLeast"/>
        </w:trPr>
        <w:tc>
          <w:tcPr>
            <w:tcW w:w="1507" w:type="dxa"/>
            <w:gridSpan w:val="3"/>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3805"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509"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457"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827"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821"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905"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805"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937"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315"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r>
      <w:tr>
        <w:tblPrEx>
          <w:tblCellMar>
            <w:top w:w="0" w:type="dxa"/>
            <w:left w:w="0" w:type="dxa"/>
            <w:bottom w:w="0" w:type="dxa"/>
            <w:right w:w="0" w:type="dxa"/>
          </w:tblCellMar>
        </w:tblPrEx>
        <w:trPr>
          <w:trHeight w:val="312" w:hRule="atLeast"/>
        </w:trPr>
        <w:tc>
          <w:tcPr>
            <w:tcW w:w="1507" w:type="dxa"/>
            <w:gridSpan w:val="3"/>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3805"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509"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457"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827"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821"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905"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805"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937"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315"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r>
      <w:tr>
        <w:tblPrEx>
          <w:tblCellMar>
            <w:top w:w="0" w:type="dxa"/>
            <w:left w:w="0" w:type="dxa"/>
            <w:bottom w:w="0" w:type="dxa"/>
            <w:right w:w="0" w:type="dxa"/>
          </w:tblCellMar>
        </w:tblPrEx>
        <w:trPr>
          <w:trHeight w:val="298" w:hRule="atLeast"/>
        </w:trPr>
        <w:tc>
          <w:tcPr>
            <w:tcW w:w="744" w:type="dxa"/>
            <w:vMerge w:val="restart"/>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类</w:t>
            </w:r>
          </w:p>
        </w:tc>
        <w:tc>
          <w:tcPr>
            <w:tcW w:w="403"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款</w:t>
            </w:r>
          </w:p>
        </w:tc>
        <w:tc>
          <w:tcPr>
            <w:tcW w:w="360"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项</w:t>
            </w:r>
          </w:p>
        </w:tc>
        <w:tc>
          <w:tcPr>
            <w:tcW w:w="380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栏次</w:t>
            </w:r>
          </w:p>
        </w:tc>
        <w:tc>
          <w:tcPr>
            <w:tcW w:w="150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w:t>
            </w:r>
          </w:p>
        </w:tc>
        <w:tc>
          <w:tcPr>
            <w:tcW w:w="1457"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w:t>
            </w:r>
          </w:p>
        </w:tc>
        <w:tc>
          <w:tcPr>
            <w:tcW w:w="827"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w:t>
            </w:r>
          </w:p>
        </w:tc>
        <w:tc>
          <w:tcPr>
            <w:tcW w:w="82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w:t>
            </w:r>
          </w:p>
        </w:tc>
        <w:tc>
          <w:tcPr>
            <w:tcW w:w="90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w:t>
            </w:r>
          </w:p>
        </w:tc>
        <w:tc>
          <w:tcPr>
            <w:tcW w:w="80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6</w:t>
            </w:r>
          </w:p>
        </w:tc>
        <w:tc>
          <w:tcPr>
            <w:tcW w:w="937"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7</w:t>
            </w:r>
          </w:p>
        </w:tc>
        <w:tc>
          <w:tcPr>
            <w:tcW w:w="13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8</w:t>
            </w:r>
          </w:p>
        </w:tc>
      </w:tr>
      <w:tr>
        <w:tblPrEx>
          <w:tblCellMar>
            <w:top w:w="0" w:type="dxa"/>
            <w:left w:w="0" w:type="dxa"/>
            <w:bottom w:w="0" w:type="dxa"/>
            <w:right w:w="0" w:type="dxa"/>
          </w:tblCellMar>
        </w:tblPrEx>
        <w:trPr>
          <w:trHeight w:val="461" w:hRule="atLeast"/>
        </w:trPr>
        <w:tc>
          <w:tcPr>
            <w:tcW w:w="744" w:type="dxa"/>
            <w:vMerge w:val="continue"/>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403"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36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380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合计</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4,320,227.54</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4,169,957.54</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150,270.00</w:t>
            </w:r>
          </w:p>
        </w:tc>
      </w:tr>
      <w:tr>
        <w:tblPrEx>
          <w:tblCellMar>
            <w:top w:w="0" w:type="dxa"/>
            <w:left w:w="0" w:type="dxa"/>
            <w:bottom w:w="0" w:type="dxa"/>
            <w:right w:w="0" w:type="dxa"/>
          </w:tblCellMar>
        </w:tblPrEx>
        <w:trPr>
          <w:trHeight w:val="403"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社会保障和就业支出</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797,191.76</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797,191.76</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03"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20805</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行政事业单位离退休</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638,137.76</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638,137.76</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03"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2080501</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归口管理的行政单位离退休</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96,716.00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96,716.00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512"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2080505</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机关事业单位基本养老保险缴费支出</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344,650.72</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344,650.72</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501"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2080506</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机关事业单位职业年金缴费支出</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196,771.04</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196,771.04</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03"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20808</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抚恤</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148,454.00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148,454.00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03"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2080801</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死亡抚恤</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134,462.00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134,462.00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03"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2080899</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其他优抚支出</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13,992.00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13,992.00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537"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20827</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财政对其他社会保险基金的补助</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10,600.00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10,600.00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03"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2082702</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财政对工伤保险基金的补助</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1,600.00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1,600.00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03"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2082703</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财政对生育保险基金的补助</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9,000.00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9,000.00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03"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210</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卫生健康支出</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214,127.88</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214,127.88</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03"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21011</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行政事业单位医疗</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214,127.88</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214,127.88</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03"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2101101</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行政单位医疗</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214,127.88</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214,127.88</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56"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215</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资源勘探信息等支出</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2,392,343.90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2,242,073.90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150,270.00</w:t>
            </w:r>
          </w:p>
        </w:tc>
      </w:tr>
      <w:tr>
        <w:tblPrEx>
          <w:tblCellMar>
            <w:top w:w="0" w:type="dxa"/>
            <w:left w:w="0" w:type="dxa"/>
            <w:bottom w:w="0" w:type="dxa"/>
            <w:right w:w="0" w:type="dxa"/>
          </w:tblCellMar>
        </w:tblPrEx>
        <w:trPr>
          <w:trHeight w:val="403"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21501</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资源勘探开发</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433,728.00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433,728.00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03"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2150101</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行政运行</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433,728.00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433,728.00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35"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21505</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工业和信息产业监管</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1,958,615.90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1,808,345.90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150,270.00</w:t>
            </w:r>
          </w:p>
        </w:tc>
      </w:tr>
      <w:tr>
        <w:tblPrEx>
          <w:tblCellMar>
            <w:top w:w="0" w:type="dxa"/>
            <w:left w:w="0" w:type="dxa"/>
            <w:bottom w:w="0" w:type="dxa"/>
            <w:right w:w="0" w:type="dxa"/>
          </w:tblCellMar>
        </w:tblPrEx>
        <w:trPr>
          <w:trHeight w:val="402"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2150501</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行政运行</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1,958,615.90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1,808,345.90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150,270.00</w:t>
            </w:r>
          </w:p>
        </w:tc>
      </w:tr>
      <w:tr>
        <w:tblPrEx>
          <w:tblCellMar>
            <w:top w:w="0" w:type="dxa"/>
            <w:left w:w="0" w:type="dxa"/>
            <w:bottom w:w="0" w:type="dxa"/>
            <w:right w:w="0" w:type="dxa"/>
          </w:tblCellMar>
        </w:tblPrEx>
        <w:trPr>
          <w:trHeight w:val="403"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221</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住房保障支出</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03"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22102</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住房改革支出</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03"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2210201</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住房公积金</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65"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229</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其他支出</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845,000.00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845,000.00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587"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22904</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其他政府性基金及对应专项债务收入安排的支出</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700,000.00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700,000.00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03"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2290401</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其他政府性基金安排的支出</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700,000.00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700,000.00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03"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22999</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其他支出</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145,000.00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145,000.00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03"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2299901</w:t>
            </w:r>
          </w:p>
        </w:tc>
        <w:tc>
          <w:tcPr>
            <w:tcW w:w="3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其他支出</w:t>
            </w:r>
          </w:p>
        </w:tc>
        <w:tc>
          <w:tcPr>
            <w:tcW w:w="15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145,000.00</w:t>
            </w:r>
          </w:p>
        </w:tc>
        <w:tc>
          <w:tcPr>
            <w:tcW w:w="145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145,000.00</w:t>
            </w:r>
          </w:p>
        </w:tc>
        <w:tc>
          <w:tcPr>
            <w:tcW w:w="82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80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37"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1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99" w:hRule="atLeast"/>
        </w:trPr>
        <w:tc>
          <w:tcPr>
            <w:tcW w:w="13888" w:type="dxa"/>
            <w:gridSpan w:val="12"/>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注：本表反映部门本年度取得的各项收入情况。</w:t>
            </w:r>
          </w:p>
        </w:tc>
      </w:tr>
    </w:tbl>
    <w:tbl>
      <w:tblPr>
        <w:tblStyle w:val="5"/>
        <w:tblpPr w:leftFromText="180" w:rightFromText="180" w:vertAnchor="text" w:horzAnchor="page" w:tblpX="1521" w:tblpY="70"/>
        <w:tblOverlap w:val="never"/>
        <w:tblW w:w="13822" w:type="dxa"/>
        <w:tblInd w:w="0" w:type="dxa"/>
        <w:tblLayout w:type="fixed"/>
        <w:tblCellMar>
          <w:top w:w="0" w:type="dxa"/>
          <w:left w:w="0" w:type="dxa"/>
          <w:bottom w:w="0" w:type="dxa"/>
          <w:right w:w="0" w:type="dxa"/>
        </w:tblCellMar>
      </w:tblPr>
      <w:tblGrid>
        <w:gridCol w:w="546"/>
        <w:gridCol w:w="212"/>
        <w:gridCol w:w="404"/>
        <w:gridCol w:w="3800"/>
        <w:gridCol w:w="1520"/>
        <w:gridCol w:w="1480"/>
        <w:gridCol w:w="1520"/>
        <w:gridCol w:w="1300"/>
        <w:gridCol w:w="1240"/>
        <w:gridCol w:w="1800"/>
      </w:tblGrid>
      <w:tr>
        <w:tblPrEx>
          <w:tblCellMar>
            <w:top w:w="0" w:type="dxa"/>
            <w:left w:w="0" w:type="dxa"/>
            <w:bottom w:w="0" w:type="dxa"/>
            <w:right w:w="0" w:type="dxa"/>
          </w:tblCellMar>
        </w:tblPrEx>
        <w:trPr>
          <w:trHeight w:val="720" w:hRule="atLeast"/>
        </w:trPr>
        <w:tc>
          <w:tcPr>
            <w:tcW w:w="546"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21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404"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380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5820" w:type="dxa"/>
            <w:gridSpan w:val="4"/>
            <w:tcBorders>
              <w:top w:val="nil"/>
              <w:left w:val="nil"/>
              <w:bottom w:val="nil"/>
              <w:right w:val="nil"/>
            </w:tcBorders>
            <w:shd w:val="clear" w:color="auto" w:fill="auto"/>
            <w:noWrap/>
            <w:tcMar>
              <w:top w:w="12" w:type="dxa"/>
              <w:left w:w="12" w:type="dxa"/>
              <w:right w:w="12" w:type="dxa"/>
            </w:tcMar>
            <w:vAlign w:val="bottom"/>
          </w:tcPr>
          <w:p>
            <w:pPr>
              <w:jc w:val="center"/>
              <w:rPr>
                <w:rFonts w:ascii="Arial" w:hAnsi="Arial" w:cs="Arial"/>
                <w:color w:val="000000"/>
                <w:sz w:val="20"/>
                <w:szCs w:val="20"/>
              </w:rPr>
            </w:pPr>
            <w:r>
              <w:rPr>
                <w:rFonts w:hint="eastAsia" w:ascii="宋体" w:hAnsi="宋体" w:cs="宋体"/>
                <w:color w:val="000000"/>
                <w:kern w:val="0"/>
                <w:sz w:val="44"/>
                <w:szCs w:val="44"/>
              </w:rPr>
              <w:t>支出决算表</w:t>
            </w:r>
          </w:p>
        </w:tc>
        <w:tc>
          <w:tcPr>
            <w:tcW w:w="124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80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72" w:hRule="atLeast"/>
        </w:trPr>
        <w:tc>
          <w:tcPr>
            <w:tcW w:w="546"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21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404"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380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52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48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52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30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3040" w:type="dxa"/>
            <w:gridSpan w:val="2"/>
            <w:tcBorders>
              <w:top w:val="nil"/>
              <w:left w:val="nil"/>
              <w:bottom w:val="nil"/>
              <w:right w:val="nil"/>
            </w:tcBorders>
            <w:shd w:val="clear" w:color="auto" w:fill="auto"/>
            <w:noWrap/>
            <w:tcMar>
              <w:top w:w="12" w:type="dxa"/>
              <w:left w:w="12" w:type="dxa"/>
              <w:right w:w="12" w:type="dxa"/>
            </w:tcMar>
            <w:vAlign w:val="bottom"/>
          </w:tcPr>
          <w:p>
            <w:pPr>
              <w:widowControl/>
              <w:jc w:val="right"/>
              <w:textAlignment w:val="bottom"/>
              <w:rPr>
                <w:rFonts w:ascii="宋体" w:hAnsi="宋体" w:cs="宋体"/>
                <w:color w:val="000000"/>
                <w:sz w:val="20"/>
                <w:szCs w:val="20"/>
              </w:rPr>
            </w:pPr>
            <w:r>
              <w:rPr>
                <w:rFonts w:hint="eastAsia" w:ascii="宋体" w:hAnsi="宋体" w:cs="宋体"/>
                <w:color w:val="000000"/>
                <w:kern w:val="0"/>
                <w:sz w:val="20"/>
                <w:szCs w:val="20"/>
              </w:rPr>
              <w:t>金额单位：元</w:t>
            </w:r>
          </w:p>
        </w:tc>
      </w:tr>
      <w:tr>
        <w:tblPrEx>
          <w:tblCellMar>
            <w:top w:w="0" w:type="dxa"/>
            <w:left w:w="0" w:type="dxa"/>
            <w:bottom w:w="0" w:type="dxa"/>
            <w:right w:w="0" w:type="dxa"/>
          </w:tblCellMar>
        </w:tblPrEx>
        <w:trPr>
          <w:trHeight w:val="372" w:hRule="atLeast"/>
        </w:trPr>
        <w:tc>
          <w:tcPr>
            <w:tcW w:w="4962" w:type="dxa"/>
            <w:gridSpan w:val="4"/>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r>
              <w:rPr>
                <w:rFonts w:hint="eastAsia" w:ascii="宋体" w:hAnsi="宋体" w:cs="宋体"/>
                <w:color w:val="000000"/>
                <w:kern w:val="0"/>
                <w:sz w:val="20"/>
                <w:szCs w:val="20"/>
              </w:rPr>
              <w:t>编制单位：庐山市工业和信息化委员会（本级）</w:t>
            </w:r>
          </w:p>
        </w:tc>
        <w:tc>
          <w:tcPr>
            <w:tcW w:w="152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3000" w:type="dxa"/>
            <w:gridSpan w:val="2"/>
            <w:tcBorders>
              <w:top w:val="nil"/>
              <w:left w:val="nil"/>
              <w:bottom w:val="nil"/>
              <w:right w:val="nil"/>
            </w:tcBorders>
            <w:shd w:val="clear" w:color="auto" w:fill="auto"/>
            <w:noWrap/>
            <w:tcMar>
              <w:top w:w="12" w:type="dxa"/>
              <w:left w:w="12" w:type="dxa"/>
              <w:right w:w="12" w:type="dxa"/>
            </w:tcMar>
            <w:vAlign w:val="bottom"/>
          </w:tcPr>
          <w:p>
            <w:pPr>
              <w:jc w:val="center"/>
              <w:rPr>
                <w:rFonts w:ascii="Arial" w:hAnsi="Arial" w:cs="Arial"/>
                <w:color w:val="000000"/>
                <w:sz w:val="20"/>
                <w:szCs w:val="20"/>
              </w:rPr>
            </w:pPr>
            <w:r>
              <w:rPr>
                <w:rFonts w:hint="eastAsia" w:ascii="宋体" w:hAnsi="宋体" w:cs="宋体"/>
                <w:color w:val="000000"/>
                <w:kern w:val="0"/>
                <w:sz w:val="20"/>
                <w:szCs w:val="20"/>
              </w:rPr>
              <w:t>2019年度</w:t>
            </w:r>
          </w:p>
        </w:tc>
        <w:tc>
          <w:tcPr>
            <w:tcW w:w="130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24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800" w:type="dxa"/>
            <w:tcBorders>
              <w:top w:val="nil"/>
              <w:left w:val="nil"/>
              <w:bottom w:val="nil"/>
              <w:right w:val="nil"/>
            </w:tcBorders>
            <w:shd w:val="clear" w:color="auto" w:fill="auto"/>
            <w:noWrap/>
            <w:tcMar>
              <w:top w:w="12" w:type="dxa"/>
              <w:left w:w="12" w:type="dxa"/>
              <w:right w:w="12" w:type="dxa"/>
            </w:tcMar>
            <w:vAlign w:val="bottom"/>
          </w:tcPr>
          <w:p>
            <w:pPr>
              <w:widowControl/>
              <w:jc w:val="right"/>
              <w:textAlignment w:val="bottom"/>
              <w:rPr>
                <w:rFonts w:ascii="宋体" w:hAnsi="宋体" w:cs="宋体"/>
                <w:color w:val="000000"/>
                <w:sz w:val="20"/>
                <w:szCs w:val="20"/>
              </w:rPr>
            </w:pPr>
            <w:r>
              <w:rPr>
                <w:rFonts w:hint="eastAsia" w:ascii="宋体" w:hAnsi="宋体" w:cs="宋体"/>
                <w:color w:val="000000"/>
                <w:kern w:val="0"/>
                <w:sz w:val="20"/>
                <w:szCs w:val="20"/>
              </w:rPr>
              <w:t>公开03表</w:t>
            </w:r>
          </w:p>
        </w:tc>
      </w:tr>
      <w:tr>
        <w:tblPrEx>
          <w:tblCellMar>
            <w:top w:w="0" w:type="dxa"/>
            <w:left w:w="0" w:type="dxa"/>
            <w:bottom w:w="0" w:type="dxa"/>
            <w:right w:w="0" w:type="dxa"/>
          </w:tblCellMar>
        </w:tblPrEx>
        <w:trPr>
          <w:trHeight w:val="394" w:hRule="atLeast"/>
        </w:trPr>
        <w:tc>
          <w:tcPr>
            <w:tcW w:w="4962" w:type="dxa"/>
            <w:gridSpan w:val="4"/>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项    目</w:t>
            </w:r>
          </w:p>
        </w:tc>
        <w:tc>
          <w:tcPr>
            <w:tcW w:w="152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本年支出合计</w:t>
            </w:r>
          </w:p>
        </w:tc>
        <w:tc>
          <w:tcPr>
            <w:tcW w:w="148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基本支出</w:t>
            </w:r>
          </w:p>
        </w:tc>
        <w:tc>
          <w:tcPr>
            <w:tcW w:w="152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项目支出</w:t>
            </w:r>
          </w:p>
        </w:tc>
        <w:tc>
          <w:tcPr>
            <w:tcW w:w="130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上缴上级支出</w:t>
            </w:r>
          </w:p>
        </w:tc>
        <w:tc>
          <w:tcPr>
            <w:tcW w:w="124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经营支出</w:t>
            </w:r>
          </w:p>
        </w:tc>
        <w:tc>
          <w:tcPr>
            <w:tcW w:w="180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对附属单位补助支出</w:t>
            </w:r>
          </w:p>
        </w:tc>
      </w:tr>
      <w:tr>
        <w:tblPrEx>
          <w:tblCellMar>
            <w:top w:w="0" w:type="dxa"/>
            <w:left w:w="0" w:type="dxa"/>
            <w:bottom w:w="0" w:type="dxa"/>
            <w:right w:w="0" w:type="dxa"/>
          </w:tblCellMar>
        </w:tblPrEx>
        <w:trPr>
          <w:trHeight w:val="394" w:hRule="atLeast"/>
        </w:trPr>
        <w:tc>
          <w:tcPr>
            <w:tcW w:w="1162" w:type="dxa"/>
            <w:gridSpan w:val="3"/>
            <w:vMerge w:val="restart"/>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支出功能分类科目编码</w:t>
            </w:r>
          </w:p>
        </w:tc>
        <w:tc>
          <w:tcPr>
            <w:tcW w:w="3800"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科目名称</w:t>
            </w:r>
          </w:p>
        </w:tc>
        <w:tc>
          <w:tcPr>
            <w:tcW w:w="152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48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52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30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24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80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r>
      <w:tr>
        <w:tblPrEx>
          <w:tblCellMar>
            <w:top w:w="0" w:type="dxa"/>
            <w:left w:w="0" w:type="dxa"/>
            <w:bottom w:w="0" w:type="dxa"/>
            <w:right w:w="0" w:type="dxa"/>
          </w:tblCellMar>
        </w:tblPrEx>
        <w:trPr>
          <w:trHeight w:val="394" w:hRule="atLeast"/>
        </w:trPr>
        <w:tc>
          <w:tcPr>
            <w:tcW w:w="1162" w:type="dxa"/>
            <w:gridSpan w:val="3"/>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380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52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48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52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30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24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80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r>
      <w:tr>
        <w:tblPrEx>
          <w:tblCellMar>
            <w:top w:w="0" w:type="dxa"/>
            <w:left w:w="0" w:type="dxa"/>
            <w:bottom w:w="0" w:type="dxa"/>
            <w:right w:w="0" w:type="dxa"/>
          </w:tblCellMar>
        </w:tblPrEx>
        <w:trPr>
          <w:trHeight w:val="394" w:hRule="atLeast"/>
        </w:trPr>
        <w:tc>
          <w:tcPr>
            <w:tcW w:w="1162" w:type="dxa"/>
            <w:gridSpan w:val="3"/>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380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52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48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52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30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24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80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r>
      <w:tr>
        <w:tblPrEx>
          <w:tblCellMar>
            <w:top w:w="0" w:type="dxa"/>
            <w:left w:w="0" w:type="dxa"/>
            <w:bottom w:w="0" w:type="dxa"/>
            <w:right w:w="0" w:type="dxa"/>
          </w:tblCellMar>
        </w:tblPrEx>
        <w:trPr>
          <w:trHeight w:val="394" w:hRule="atLeast"/>
        </w:trPr>
        <w:tc>
          <w:tcPr>
            <w:tcW w:w="546" w:type="dxa"/>
            <w:vMerge w:val="restart"/>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类</w:t>
            </w:r>
          </w:p>
        </w:tc>
        <w:tc>
          <w:tcPr>
            <w:tcW w:w="212"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款</w:t>
            </w:r>
          </w:p>
        </w:tc>
        <w:tc>
          <w:tcPr>
            <w:tcW w:w="404"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项</w:t>
            </w:r>
          </w:p>
        </w:tc>
        <w:tc>
          <w:tcPr>
            <w:tcW w:w="38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栏次</w:t>
            </w:r>
          </w:p>
        </w:tc>
        <w:tc>
          <w:tcPr>
            <w:tcW w:w="152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w:t>
            </w:r>
          </w:p>
        </w:tc>
        <w:tc>
          <w:tcPr>
            <w:tcW w:w="148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w:t>
            </w:r>
          </w:p>
        </w:tc>
        <w:tc>
          <w:tcPr>
            <w:tcW w:w="152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w:t>
            </w:r>
          </w:p>
        </w:tc>
        <w:tc>
          <w:tcPr>
            <w:tcW w:w="130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w:t>
            </w:r>
          </w:p>
        </w:tc>
        <w:tc>
          <w:tcPr>
            <w:tcW w:w="124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w:t>
            </w:r>
          </w:p>
        </w:tc>
        <w:tc>
          <w:tcPr>
            <w:tcW w:w="180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6</w:t>
            </w:r>
          </w:p>
        </w:tc>
      </w:tr>
      <w:tr>
        <w:tblPrEx>
          <w:tblCellMar>
            <w:top w:w="0" w:type="dxa"/>
            <w:left w:w="0" w:type="dxa"/>
            <w:bottom w:w="0" w:type="dxa"/>
            <w:right w:w="0" w:type="dxa"/>
          </w:tblCellMar>
        </w:tblPrEx>
        <w:trPr>
          <w:trHeight w:val="394" w:hRule="atLeast"/>
        </w:trPr>
        <w:tc>
          <w:tcPr>
            <w:tcW w:w="546" w:type="dxa"/>
            <w:vMerge w:val="continue"/>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212"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404"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38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合计</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3,762,699.02</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3,762,699.02</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社会保障和就业支出</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762,633.43</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762,633.43</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20805</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行政事业单位离退休</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603,579.43</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603,579.43</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2080501</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textAlignment w:val="center"/>
              <w:rPr>
                <w:rFonts w:ascii="宋体" w:hAnsi="宋体" w:cs="宋体"/>
                <w:color w:val="000000"/>
                <w:sz w:val="22"/>
                <w:szCs w:val="22"/>
              </w:rPr>
            </w:pPr>
            <w:r>
              <w:rPr>
                <w:rFonts w:hint="eastAsia" w:ascii="宋体" w:hAnsi="宋体" w:cs="宋体"/>
                <w:color w:val="000000"/>
                <w:kern w:val="0"/>
                <w:sz w:val="22"/>
                <w:szCs w:val="22"/>
              </w:rPr>
              <w:t xml:space="preserve">  归口管理的行政单位离退休</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96,716.00</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96,716.00</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741"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2080505</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textAlignment w:val="center"/>
              <w:rPr>
                <w:rFonts w:ascii="宋体" w:hAnsi="宋体" w:cs="宋体"/>
                <w:color w:val="000000"/>
                <w:sz w:val="22"/>
                <w:szCs w:val="22"/>
              </w:rPr>
            </w:pPr>
            <w:r>
              <w:rPr>
                <w:rFonts w:hint="eastAsia" w:ascii="宋体" w:hAnsi="宋体" w:cs="宋体"/>
                <w:color w:val="000000"/>
                <w:kern w:val="0"/>
                <w:sz w:val="22"/>
                <w:szCs w:val="22"/>
              </w:rPr>
              <w:t xml:space="preserve">  机关事业单位基本养老保险缴费支出</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343,848.63</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343,848.63</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2080506</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textAlignment w:val="center"/>
              <w:rPr>
                <w:rFonts w:ascii="宋体" w:hAnsi="宋体" w:cs="宋体"/>
                <w:color w:val="000000"/>
                <w:sz w:val="22"/>
                <w:szCs w:val="22"/>
              </w:rPr>
            </w:pPr>
            <w:r>
              <w:rPr>
                <w:rFonts w:hint="eastAsia" w:ascii="宋体" w:hAnsi="宋体" w:cs="宋体"/>
                <w:color w:val="000000"/>
                <w:kern w:val="0"/>
                <w:sz w:val="22"/>
                <w:szCs w:val="22"/>
              </w:rPr>
              <w:t>机关事业单位职业年金缴费支出</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163,014.80</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163,014.80</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20808</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textAlignment w:val="center"/>
              <w:rPr>
                <w:rFonts w:ascii="宋体" w:hAnsi="宋体" w:cs="宋体"/>
                <w:color w:val="000000"/>
                <w:sz w:val="22"/>
                <w:szCs w:val="22"/>
              </w:rPr>
            </w:pPr>
            <w:r>
              <w:rPr>
                <w:rFonts w:hint="eastAsia" w:ascii="宋体" w:hAnsi="宋体" w:cs="宋体"/>
                <w:color w:val="000000"/>
                <w:kern w:val="0"/>
                <w:sz w:val="22"/>
                <w:szCs w:val="22"/>
              </w:rPr>
              <w:t>抚恤</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148,454.00</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148,454.00</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2080801</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textAlignment w:val="center"/>
              <w:rPr>
                <w:rFonts w:ascii="宋体" w:hAnsi="宋体" w:cs="宋体"/>
                <w:color w:val="000000"/>
                <w:sz w:val="22"/>
                <w:szCs w:val="22"/>
              </w:rPr>
            </w:pPr>
            <w:r>
              <w:rPr>
                <w:rFonts w:hint="eastAsia" w:ascii="宋体" w:hAnsi="宋体" w:cs="宋体"/>
                <w:color w:val="000000"/>
                <w:kern w:val="0"/>
                <w:sz w:val="22"/>
                <w:szCs w:val="22"/>
              </w:rPr>
              <w:t xml:space="preserve">  死亡抚恤</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134,462.00</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134,462.00</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2080899</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其他优抚支出</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13,992.00</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13,992.00</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20827</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财政对其他社会保险基金的补助</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10,600.00</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10,600.00</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2082702</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财政对工伤保险基金的补助</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1,600.00</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1,600.00</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2082703</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财政对生育保险基金的补助</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9,000.00</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9,000.00</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210</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卫生健康支出</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213,560.26</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213,560.26</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21011</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行政事业单位医疗</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213,560.26</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213,560.26</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2101101</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行政单位医疗</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213,560.26</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213,560.26</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215</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资源勘探信息等支出</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2,500,203.51</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2,500,203.51</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21501</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资源勘探开发</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433,602.00</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433,602.00</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2150101</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行政运行</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433,602.00</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433,602.00</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21505</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工业和信息产业监管</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2,066,601.51</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2,066,601.51</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pStyle w:val="3"/>
              <w:jc w:val="right"/>
            </w:pPr>
            <w:r>
              <w:rPr>
                <w:rFonts w:hint="eastAsia"/>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2150501</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行政运行</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2,066,601.51</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2,066,601.51</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221</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住房保障支出</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22102</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住房改革支出</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2210201</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住房公积金</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229</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其他支出</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214,737.82</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214,737.82</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741"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22904</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其他政府性基金及对应专项债务收入安排的支出</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153,201.32</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153,201.32</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2290401</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其他政府性基金安排的支出</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153,201.32</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153,201.32</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22999</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其他支出</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61,536.50</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61,536.50</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94" w:hRule="atLeast"/>
        </w:trPr>
        <w:tc>
          <w:tcPr>
            <w:tcW w:w="116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2299901</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其他支出</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61,536.50</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61,536.50</w:t>
            </w:r>
          </w:p>
        </w:tc>
        <w:tc>
          <w:tcPr>
            <w:tcW w:w="1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15" w:hRule="atLeast"/>
        </w:trPr>
        <w:tc>
          <w:tcPr>
            <w:tcW w:w="13822" w:type="dxa"/>
            <w:gridSpan w:val="10"/>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注：本表反映部门本年度各项支出情况。</w:t>
            </w:r>
          </w:p>
        </w:tc>
      </w:tr>
    </w:tbl>
    <w:tbl>
      <w:tblPr>
        <w:tblStyle w:val="5"/>
        <w:tblpPr w:leftFromText="180" w:rightFromText="180" w:vertAnchor="text" w:horzAnchor="page" w:tblpX="1" w:tblpY="-1695"/>
        <w:tblOverlap w:val="never"/>
        <w:tblW w:w="16273" w:type="dxa"/>
        <w:tblInd w:w="0" w:type="dxa"/>
        <w:tblLayout w:type="fixed"/>
        <w:tblCellMar>
          <w:top w:w="0" w:type="dxa"/>
          <w:left w:w="0" w:type="dxa"/>
          <w:bottom w:w="0" w:type="dxa"/>
          <w:right w:w="0" w:type="dxa"/>
        </w:tblCellMar>
      </w:tblPr>
      <w:tblGrid>
        <w:gridCol w:w="3160"/>
        <w:gridCol w:w="700"/>
        <w:gridCol w:w="1900"/>
        <w:gridCol w:w="3040"/>
        <w:gridCol w:w="284"/>
        <w:gridCol w:w="336"/>
        <w:gridCol w:w="373"/>
        <w:gridCol w:w="1467"/>
        <w:gridCol w:w="659"/>
        <w:gridCol w:w="1061"/>
        <w:gridCol w:w="499"/>
        <w:gridCol w:w="1842"/>
        <w:gridCol w:w="952"/>
      </w:tblGrid>
      <w:tr>
        <w:tblPrEx>
          <w:tblCellMar>
            <w:top w:w="0" w:type="dxa"/>
            <w:left w:w="0" w:type="dxa"/>
            <w:bottom w:w="0" w:type="dxa"/>
            <w:right w:w="0" w:type="dxa"/>
          </w:tblCellMar>
        </w:tblPrEx>
        <w:trPr>
          <w:trHeight w:val="564" w:hRule="atLeast"/>
        </w:trPr>
        <w:tc>
          <w:tcPr>
            <w:tcW w:w="316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p>
            <w:pPr>
              <w:rPr>
                <w:rFonts w:ascii="Arial" w:hAnsi="Arial" w:cs="Arial"/>
                <w:color w:val="000000"/>
                <w:sz w:val="20"/>
                <w:szCs w:val="20"/>
              </w:rPr>
            </w:pPr>
          </w:p>
        </w:tc>
        <w:tc>
          <w:tcPr>
            <w:tcW w:w="9820" w:type="dxa"/>
            <w:gridSpan w:val="9"/>
            <w:tcBorders>
              <w:top w:val="nil"/>
              <w:left w:val="nil"/>
              <w:bottom w:val="nil"/>
              <w:right w:val="nil"/>
            </w:tcBorders>
            <w:shd w:val="clear" w:color="auto" w:fill="auto"/>
            <w:noWrap/>
            <w:tcMar>
              <w:top w:w="12" w:type="dxa"/>
              <w:left w:w="12" w:type="dxa"/>
              <w:right w:w="12" w:type="dxa"/>
            </w:tcMar>
            <w:vAlign w:val="bottom"/>
          </w:tcPr>
          <w:p>
            <w:pPr>
              <w:jc w:val="center"/>
              <w:rPr>
                <w:rFonts w:ascii="Arial" w:hAnsi="Arial" w:cs="Arial"/>
                <w:color w:val="000000"/>
                <w:sz w:val="20"/>
                <w:szCs w:val="20"/>
              </w:rPr>
            </w:pPr>
            <w:r>
              <w:rPr>
                <w:rFonts w:hint="eastAsia" w:ascii="宋体" w:hAnsi="宋体" w:cs="宋体"/>
                <w:color w:val="000000"/>
                <w:kern w:val="0"/>
                <w:sz w:val="44"/>
                <w:szCs w:val="44"/>
              </w:rPr>
              <w:t>财政拨款收入支出决算总表</w:t>
            </w:r>
          </w:p>
        </w:tc>
        <w:tc>
          <w:tcPr>
            <w:tcW w:w="2341" w:type="dxa"/>
            <w:gridSpan w:val="2"/>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264" w:hRule="atLeast"/>
        </w:trPr>
        <w:tc>
          <w:tcPr>
            <w:tcW w:w="316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70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90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304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620" w:type="dxa"/>
            <w:gridSpan w:val="2"/>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840" w:type="dxa"/>
            <w:gridSpan w:val="2"/>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720" w:type="dxa"/>
            <w:gridSpan w:val="2"/>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2341" w:type="dxa"/>
            <w:gridSpan w:val="2"/>
            <w:tcBorders>
              <w:top w:val="nil"/>
              <w:left w:val="nil"/>
              <w:bottom w:val="nil"/>
              <w:right w:val="nil"/>
            </w:tcBorders>
            <w:shd w:val="clear" w:color="auto" w:fill="auto"/>
            <w:noWrap/>
            <w:tcMar>
              <w:top w:w="12" w:type="dxa"/>
              <w:left w:w="12" w:type="dxa"/>
              <w:right w:w="12" w:type="dxa"/>
            </w:tcMar>
            <w:vAlign w:val="bottom"/>
          </w:tcPr>
          <w:p>
            <w:pPr>
              <w:widowControl/>
              <w:jc w:val="right"/>
              <w:textAlignment w:val="bottom"/>
              <w:rPr>
                <w:rFonts w:ascii="宋体" w:hAnsi="宋体" w:cs="宋体"/>
                <w:color w:val="000000"/>
                <w:sz w:val="20"/>
                <w:szCs w:val="20"/>
              </w:rPr>
            </w:pPr>
            <w:r>
              <w:rPr>
                <w:rFonts w:hint="eastAsia" w:ascii="宋体" w:hAnsi="宋体" w:cs="宋体"/>
                <w:color w:val="000000"/>
                <w:kern w:val="0"/>
                <w:sz w:val="20"/>
                <w:szCs w:val="20"/>
              </w:rPr>
              <w:t>金额单位：元</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582" w:hRule="atLeast"/>
        </w:trPr>
        <w:tc>
          <w:tcPr>
            <w:tcW w:w="5760" w:type="dxa"/>
            <w:gridSpan w:val="3"/>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r>
              <w:rPr>
                <w:rFonts w:hint="eastAsia" w:ascii="宋体" w:hAnsi="宋体" w:cs="宋体"/>
                <w:color w:val="000000"/>
                <w:kern w:val="0"/>
                <w:sz w:val="20"/>
                <w:szCs w:val="20"/>
              </w:rPr>
              <w:t>编制单位：庐山市工业和信息化委员会（本级）</w:t>
            </w:r>
          </w:p>
        </w:tc>
        <w:tc>
          <w:tcPr>
            <w:tcW w:w="5500" w:type="dxa"/>
            <w:gridSpan w:val="5"/>
            <w:tcBorders>
              <w:top w:val="nil"/>
              <w:left w:val="nil"/>
              <w:bottom w:val="nil"/>
              <w:right w:val="nil"/>
            </w:tcBorders>
            <w:shd w:val="clear" w:color="auto" w:fill="auto"/>
            <w:noWrap/>
            <w:tcMar>
              <w:top w:w="12" w:type="dxa"/>
              <w:left w:w="12" w:type="dxa"/>
              <w:right w:w="12" w:type="dxa"/>
            </w:tcMar>
            <w:vAlign w:val="bottom"/>
          </w:tcPr>
          <w:p>
            <w:pPr>
              <w:jc w:val="center"/>
              <w:rPr>
                <w:rFonts w:ascii="Arial" w:hAnsi="Arial" w:cs="Arial"/>
                <w:color w:val="000000"/>
                <w:sz w:val="20"/>
                <w:szCs w:val="20"/>
              </w:rPr>
            </w:pPr>
            <w:r>
              <w:rPr>
                <w:rFonts w:hint="eastAsia" w:ascii="Arial" w:hAnsi="Arial" w:cs="Arial"/>
                <w:color w:val="000000"/>
                <w:sz w:val="20"/>
                <w:szCs w:val="20"/>
              </w:rPr>
              <w:t>2019年度</w:t>
            </w:r>
          </w:p>
        </w:tc>
        <w:tc>
          <w:tcPr>
            <w:tcW w:w="1720" w:type="dxa"/>
            <w:gridSpan w:val="2"/>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2341" w:type="dxa"/>
            <w:gridSpan w:val="2"/>
            <w:tcBorders>
              <w:top w:val="nil"/>
              <w:left w:val="nil"/>
              <w:bottom w:val="nil"/>
              <w:right w:val="nil"/>
            </w:tcBorders>
            <w:shd w:val="clear" w:color="auto" w:fill="auto"/>
            <w:noWrap/>
            <w:tcMar>
              <w:top w:w="12" w:type="dxa"/>
              <w:left w:w="12" w:type="dxa"/>
              <w:right w:w="12" w:type="dxa"/>
            </w:tcMar>
            <w:vAlign w:val="bottom"/>
          </w:tcPr>
          <w:p>
            <w:pPr>
              <w:widowControl/>
              <w:jc w:val="right"/>
              <w:textAlignment w:val="bottom"/>
              <w:rPr>
                <w:rFonts w:ascii="宋体" w:hAnsi="宋体" w:cs="宋体"/>
                <w:color w:val="000000"/>
                <w:sz w:val="20"/>
                <w:szCs w:val="20"/>
              </w:rPr>
            </w:pPr>
            <w:r>
              <w:rPr>
                <w:rFonts w:hint="eastAsia" w:ascii="宋体" w:hAnsi="宋体" w:cs="宋体"/>
                <w:color w:val="000000"/>
                <w:kern w:val="0"/>
                <w:sz w:val="20"/>
                <w:szCs w:val="20"/>
              </w:rPr>
              <w:t>公开04表</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5760" w:type="dxa"/>
            <w:gridSpan w:val="3"/>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收     入</w:t>
            </w:r>
          </w:p>
        </w:tc>
        <w:tc>
          <w:tcPr>
            <w:tcW w:w="9561" w:type="dxa"/>
            <w:gridSpan w:val="9"/>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支     出</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vMerge w:val="restart"/>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项    目</w:t>
            </w:r>
          </w:p>
        </w:tc>
        <w:tc>
          <w:tcPr>
            <w:tcW w:w="700"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行次</w:t>
            </w:r>
          </w:p>
        </w:tc>
        <w:tc>
          <w:tcPr>
            <w:tcW w:w="1900"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决算数</w:t>
            </w:r>
          </w:p>
        </w:tc>
        <w:tc>
          <w:tcPr>
            <w:tcW w:w="3324" w:type="dxa"/>
            <w:gridSpan w:val="2"/>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项目（按功能分类）</w:t>
            </w:r>
          </w:p>
        </w:tc>
        <w:tc>
          <w:tcPr>
            <w:tcW w:w="709" w:type="dxa"/>
            <w:gridSpan w:val="2"/>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行次</w:t>
            </w:r>
          </w:p>
        </w:tc>
        <w:tc>
          <w:tcPr>
            <w:tcW w:w="5528" w:type="dxa"/>
            <w:gridSpan w:val="5"/>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决算数</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585" w:hRule="atLeast"/>
        </w:trPr>
        <w:tc>
          <w:tcPr>
            <w:tcW w:w="3160" w:type="dxa"/>
            <w:vMerge w:val="continue"/>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70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90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3324" w:type="dxa"/>
            <w:gridSpan w:val="2"/>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709" w:type="dxa"/>
            <w:gridSpan w:val="2"/>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2126" w:type="dxa"/>
            <w:gridSpan w:val="2"/>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小计</w:t>
            </w:r>
          </w:p>
        </w:tc>
        <w:tc>
          <w:tcPr>
            <w:tcW w:w="1560" w:type="dxa"/>
            <w:gridSpan w:val="2"/>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一般公共预算财政拨款</w:t>
            </w:r>
          </w:p>
        </w:tc>
        <w:tc>
          <w:tcPr>
            <w:tcW w:w="1842"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政府性基金预算财政拨款</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栏    次</w:t>
            </w: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9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w:t>
            </w: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栏    次</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2126"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10</w:t>
            </w:r>
          </w:p>
        </w:tc>
        <w:tc>
          <w:tcPr>
            <w:tcW w:w="1560"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11</w:t>
            </w:r>
          </w:p>
        </w:tc>
        <w:tc>
          <w:tcPr>
            <w:tcW w:w="184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12</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一、一般公共预算财政拨款</w:t>
            </w: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3,469,957.54</w:t>
            </w: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一、一般公共服务支出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二、政府性基金预算财政拨款</w:t>
            </w: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700,000.00</w:t>
            </w: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二、外交支出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32</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三、国防支出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33</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四、公共安全支出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34</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五、教育支出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35</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6</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六、科学技术支出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36</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7</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七、文化旅游体育与传媒支出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37</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8</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八、社会保障和就业支出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38</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762,633.43</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762,633.43</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9</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九、卫生健康支出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39</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213,560.26</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213,560.26</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10</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十、节能环保支出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40</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11</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十一、城乡社区支出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41</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12</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十二、农林水支出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42</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13</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十三、交通运输支出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43</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14</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十四、资源勘探信息等支出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44</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2,488,407.51</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2,488,407.51</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15</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十五、商业服务业等支出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45</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16</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十六、金融支出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46</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17</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十七、援助其他地区支出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47</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18</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十八、自然资源海洋气象等支出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48</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19</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十九、住房保障支出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49</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20</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二十、粮油物资储备支出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50</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21</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二十一、灾害防治及应急管理支出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51</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22</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二十二、其他支出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52</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214,737.82</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61,536.50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153,201.32</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23</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二十三、债务还本支出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53</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24</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二十四、债务付息支出</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54</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25</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55</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本年收入合计</w:t>
            </w: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26</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4,169,957.54</w:t>
            </w: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本年支出合计</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56</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3,750,903.02</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3,597,701.70</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153,201.32</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年初财政拨款结转和结余</w:t>
            </w: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27</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507,409.09</w:t>
            </w: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年末财政拨款结转和结余</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57</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926,463.61</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379,664.93</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546,798.68</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一、一般公共预算财政拨款</w:t>
            </w: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28</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507,409.09</w:t>
            </w: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58</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二、政府性基金预算财政拨款</w:t>
            </w: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29</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ascii="宋体" w:hAnsi="宋体" w:cs="宋体"/>
                <w:color w:val="000000"/>
                <w:sz w:val="22"/>
                <w:szCs w:val="22"/>
              </w:rPr>
            </w:pP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59</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316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总计</w:t>
            </w:r>
          </w:p>
        </w:tc>
        <w:tc>
          <w:tcPr>
            <w:tcW w:w="7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w:t>
            </w:r>
          </w:p>
        </w:tc>
        <w:tc>
          <w:tcPr>
            <w:tcW w:w="19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4,677,366.63</w:t>
            </w:r>
          </w:p>
        </w:tc>
        <w:tc>
          <w:tcPr>
            <w:tcW w:w="3324"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总计</w:t>
            </w:r>
          </w:p>
        </w:tc>
        <w:tc>
          <w:tcPr>
            <w:tcW w:w="709" w:type="dxa"/>
            <w:gridSpan w:val="2"/>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60</w:t>
            </w:r>
          </w:p>
        </w:tc>
        <w:tc>
          <w:tcPr>
            <w:tcW w:w="2126"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4,677,366.63</w:t>
            </w:r>
          </w:p>
        </w:tc>
        <w:tc>
          <w:tcPr>
            <w:tcW w:w="1560" w:type="dxa"/>
            <w:gridSpan w:val="2"/>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3,977,366.63</w:t>
            </w:r>
          </w:p>
        </w:tc>
        <w:tc>
          <w:tcPr>
            <w:tcW w:w="1842"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700,000.00</w:t>
            </w:r>
          </w:p>
        </w:tc>
        <w:tc>
          <w:tcPr>
            <w:tcW w:w="95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bl>
    <w:tbl>
      <w:tblPr>
        <w:tblStyle w:val="5"/>
        <w:tblpPr w:leftFromText="180" w:rightFromText="180" w:vertAnchor="text" w:horzAnchor="margin" w:tblpXSpec="right" w:tblpY="56"/>
        <w:tblOverlap w:val="never"/>
        <w:tblW w:w="15353" w:type="dxa"/>
        <w:tblInd w:w="0" w:type="dxa"/>
        <w:tblLayout w:type="fixed"/>
        <w:tblCellMar>
          <w:top w:w="0" w:type="dxa"/>
          <w:left w:w="0" w:type="dxa"/>
          <w:bottom w:w="0" w:type="dxa"/>
          <w:right w:w="0" w:type="dxa"/>
        </w:tblCellMar>
      </w:tblPr>
      <w:tblGrid>
        <w:gridCol w:w="15309"/>
        <w:gridCol w:w="44"/>
      </w:tblGrid>
      <w:tr>
        <w:tblPrEx>
          <w:tblCellMar>
            <w:top w:w="0" w:type="dxa"/>
            <w:left w:w="0" w:type="dxa"/>
            <w:bottom w:w="0" w:type="dxa"/>
            <w:right w:w="0" w:type="dxa"/>
          </w:tblCellMar>
        </w:tblPrEx>
        <w:trPr>
          <w:trHeight w:val="454" w:hRule="atLeast"/>
        </w:trPr>
        <w:tc>
          <w:tcPr>
            <w:tcW w:w="15309" w:type="dxa"/>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注：本表反映部门本年度一般公共预算财政拨款和政府性基金预算财政拨款的总收支和年末结转结余情况。</w:t>
            </w:r>
          </w:p>
        </w:tc>
        <w:tc>
          <w:tcPr>
            <w:tcW w:w="44"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bl>
    <w:p>
      <w:pPr>
        <w:spacing w:line="580" w:lineRule="exact"/>
        <w:rPr>
          <w:rFonts w:ascii="仿宋_GB2312" w:hAnsi="仿宋" w:eastAsia="仿宋_GB2312" w:cs="仿宋_GB2312"/>
          <w:kern w:val="1"/>
          <w:sz w:val="36"/>
          <w:szCs w:val="36"/>
        </w:rPr>
      </w:pPr>
    </w:p>
    <w:p>
      <w:pPr>
        <w:spacing w:line="580" w:lineRule="exact"/>
        <w:rPr>
          <w:rFonts w:ascii="仿宋_GB2312" w:hAnsi="仿宋" w:eastAsia="仿宋_GB2312" w:cs="仿宋_GB2312"/>
          <w:kern w:val="1"/>
          <w:sz w:val="36"/>
          <w:szCs w:val="36"/>
        </w:rPr>
      </w:pPr>
    </w:p>
    <w:p>
      <w:pPr>
        <w:spacing w:line="580" w:lineRule="exact"/>
        <w:rPr>
          <w:rFonts w:ascii="仿宋_GB2312" w:hAnsi="仿宋" w:eastAsia="仿宋_GB2312" w:cs="仿宋_GB2312"/>
          <w:kern w:val="1"/>
          <w:sz w:val="36"/>
          <w:szCs w:val="36"/>
        </w:rPr>
      </w:pPr>
    </w:p>
    <w:p>
      <w:pPr>
        <w:spacing w:line="580" w:lineRule="exact"/>
        <w:rPr>
          <w:rFonts w:ascii="仿宋_GB2312" w:hAnsi="仿宋" w:eastAsia="仿宋_GB2312" w:cs="仿宋_GB2312"/>
          <w:kern w:val="1"/>
          <w:sz w:val="36"/>
          <w:szCs w:val="36"/>
        </w:rPr>
      </w:pPr>
    </w:p>
    <w:tbl>
      <w:tblPr>
        <w:tblStyle w:val="5"/>
        <w:tblpPr w:leftFromText="180" w:rightFromText="180" w:vertAnchor="text" w:horzAnchor="page" w:tblpX="1443" w:tblpY="-25"/>
        <w:tblOverlap w:val="never"/>
        <w:tblW w:w="13954" w:type="dxa"/>
        <w:tblInd w:w="0" w:type="dxa"/>
        <w:tblLayout w:type="fixed"/>
        <w:tblCellMar>
          <w:top w:w="0" w:type="dxa"/>
          <w:left w:w="0" w:type="dxa"/>
          <w:bottom w:w="0" w:type="dxa"/>
          <w:right w:w="0" w:type="dxa"/>
        </w:tblCellMar>
      </w:tblPr>
      <w:tblGrid>
        <w:gridCol w:w="1181"/>
        <w:gridCol w:w="493"/>
        <w:gridCol w:w="576"/>
        <w:gridCol w:w="3945"/>
        <w:gridCol w:w="2318"/>
        <w:gridCol w:w="2120"/>
        <w:gridCol w:w="3321"/>
      </w:tblGrid>
      <w:tr>
        <w:tblPrEx>
          <w:tblCellMar>
            <w:top w:w="0" w:type="dxa"/>
            <w:left w:w="0" w:type="dxa"/>
            <w:bottom w:w="0" w:type="dxa"/>
            <w:right w:w="0" w:type="dxa"/>
          </w:tblCellMar>
        </w:tblPrEx>
        <w:trPr>
          <w:trHeight w:val="564" w:hRule="atLeast"/>
        </w:trPr>
        <w:tc>
          <w:tcPr>
            <w:tcW w:w="13954" w:type="dxa"/>
            <w:gridSpan w:val="7"/>
            <w:tcBorders>
              <w:top w:val="nil"/>
              <w:left w:val="nil"/>
              <w:bottom w:val="nil"/>
              <w:right w:val="nil"/>
            </w:tcBorders>
            <w:shd w:val="clear" w:color="auto" w:fill="auto"/>
            <w:noWrap/>
            <w:tcMar>
              <w:top w:w="12" w:type="dxa"/>
              <w:left w:w="12" w:type="dxa"/>
              <w:right w:w="12" w:type="dxa"/>
            </w:tcMar>
            <w:vAlign w:val="bottom"/>
          </w:tcPr>
          <w:p>
            <w:pPr>
              <w:jc w:val="center"/>
              <w:rPr>
                <w:rFonts w:ascii="Arial" w:hAnsi="Arial" w:cs="Arial"/>
                <w:color w:val="000000"/>
                <w:sz w:val="20"/>
                <w:szCs w:val="20"/>
              </w:rPr>
            </w:pPr>
            <w:r>
              <w:rPr>
                <w:rFonts w:hint="eastAsia" w:ascii="宋体" w:hAnsi="宋体" w:cs="宋体"/>
                <w:color w:val="000000"/>
                <w:kern w:val="0"/>
                <w:sz w:val="44"/>
                <w:szCs w:val="44"/>
              </w:rPr>
              <w:t>一般公共预算财政拨款支出决算表</w:t>
            </w:r>
          </w:p>
        </w:tc>
      </w:tr>
      <w:tr>
        <w:tblPrEx>
          <w:tblCellMar>
            <w:top w:w="0" w:type="dxa"/>
            <w:left w:w="0" w:type="dxa"/>
            <w:bottom w:w="0" w:type="dxa"/>
            <w:right w:w="0" w:type="dxa"/>
          </w:tblCellMar>
        </w:tblPrEx>
        <w:trPr>
          <w:trHeight w:val="264" w:hRule="atLeast"/>
        </w:trPr>
        <w:tc>
          <w:tcPr>
            <w:tcW w:w="1181"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493"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576"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394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2318"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212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3321" w:type="dxa"/>
            <w:tcBorders>
              <w:top w:val="nil"/>
              <w:left w:val="nil"/>
              <w:bottom w:val="nil"/>
              <w:right w:val="nil"/>
            </w:tcBorders>
            <w:shd w:val="clear" w:color="auto" w:fill="auto"/>
            <w:noWrap/>
            <w:tcMar>
              <w:top w:w="12" w:type="dxa"/>
              <w:left w:w="12" w:type="dxa"/>
              <w:right w:w="12" w:type="dxa"/>
            </w:tcMar>
            <w:vAlign w:val="bottom"/>
          </w:tcPr>
          <w:p>
            <w:pPr>
              <w:widowControl/>
              <w:jc w:val="right"/>
              <w:textAlignment w:val="bottom"/>
              <w:rPr>
                <w:rFonts w:ascii="宋体" w:hAnsi="宋体" w:cs="宋体"/>
                <w:color w:val="000000"/>
                <w:sz w:val="20"/>
                <w:szCs w:val="20"/>
              </w:rPr>
            </w:pPr>
            <w:r>
              <w:rPr>
                <w:rFonts w:hint="eastAsia" w:ascii="宋体" w:hAnsi="宋体" w:cs="宋体"/>
                <w:color w:val="000000"/>
                <w:kern w:val="0"/>
                <w:sz w:val="20"/>
                <w:szCs w:val="20"/>
              </w:rPr>
              <w:t>金额单位：元</w:t>
            </w:r>
          </w:p>
        </w:tc>
      </w:tr>
      <w:tr>
        <w:tblPrEx>
          <w:tblCellMar>
            <w:top w:w="0" w:type="dxa"/>
            <w:left w:w="0" w:type="dxa"/>
            <w:bottom w:w="0" w:type="dxa"/>
            <w:right w:w="0" w:type="dxa"/>
          </w:tblCellMar>
        </w:tblPrEx>
        <w:trPr>
          <w:trHeight w:val="264" w:hRule="atLeast"/>
        </w:trPr>
        <w:tc>
          <w:tcPr>
            <w:tcW w:w="6195" w:type="dxa"/>
            <w:gridSpan w:val="4"/>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r>
              <w:rPr>
                <w:rFonts w:hint="eastAsia" w:ascii="宋体" w:hAnsi="宋体" w:cs="宋体"/>
                <w:color w:val="000000"/>
                <w:kern w:val="0"/>
                <w:sz w:val="20"/>
                <w:szCs w:val="20"/>
              </w:rPr>
              <w:t>编制单位：庐山市工业和信息化委员会（本级）</w:t>
            </w:r>
          </w:p>
        </w:tc>
        <w:tc>
          <w:tcPr>
            <w:tcW w:w="2318" w:type="dxa"/>
            <w:tcBorders>
              <w:top w:val="nil"/>
              <w:left w:val="nil"/>
              <w:bottom w:val="nil"/>
              <w:right w:val="nil"/>
            </w:tcBorders>
            <w:shd w:val="clear" w:color="auto" w:fill="auto"/>
            <w:noWrap/>
            <w:tcMar>
              <w:top w:w="12" w:type="dxa"/>
              <w:left w:w="12" w:type="dxa"/>
              <w:right w:w="12" w:type="dxa"/>
            </w:tcMar>
            <w:vAlign w:val="bottom"/>
          </w:tcPr>
          <w:p>
            <w:pPr>
              <w:widowControl/>
              <w:jc w:val="center"/>
              <w:textAlignment w:val="bottom"/>
              <w:rPr>
                <w:rFonts w:ascii="宋体" w:hAnsi="宋体" w:cs="宋体"/>
                <w:color w:val="000000"/>
                <w:sz w:val="20"/>
                <w:szCs w:val="20"/>
              </w:rPr>
            </w:pPr>
            <w:r>
              <w:rPr>
                <w:rFonts w:hint="eastAsia" w:ascii="宋体" w:hAnsi="宋体" w:cs="宋体"/>
                <w:color w:val="000000"/>
                <w:kern w:val="0"/>
                <w:sz w:val="20"/>
                <w:szCs w:val="20"/>
              </w:rPr>
              <w:t>2019年度</w:t>
            </w:r>
          </w:p>
        </w:tc>
        <w:tc>
          <w:tcPr>
            <w:tcW w:w="212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3321" w:type="dxa"/>
            <w:tcBorders>
              <w:top w:val="nil"/>
              <w:left w:val="nil"/>
              <w:bottom w:val="nil"/>
              <w:right w:val="nil"/>
            </w:tcBorders>
            <w:shd w:val="clear" w:color="auto" w:fill="auto"/>
            <w:noWrap/>
            <w:tcMar>
              <w:top w:w="12" w:type="dxa"/>
              <w:left w:w="12" w:type="dxa"/>
              <w:right w:w="12" w:type="dxa"/>
            </w:tcMar>
            <w:vAlign w:val="bottom"/>
          </w:tcPr>
          <w:p>
            <w:pPr>
              <w:widowControl/>
              <w:jc w:val="right"/>
              <w:textAlignment w:val="bottom"/>
              <w:rPr>
                <w:rFonts w:ascii="宋体" w:hAnsi="宋体" w:cs="宋体"/>
                <w:color w:val="000000"/>
                <w:sz w:val="20"/>
                <w:szCs w:val="20"/>
              </w:rPr>
            </w:pPr>
            <w:r>
              <w:rPr>
                <w:rFonts w:hint="eastAsia" w:ascii="宋体" w:hAnsi="宋体" w:cs="宋体"/>
                <w:color w:val="000000"/>
                <w:kern w:val="0"/>
                <w:sz w:val="20"/>
                <w:szCs w:val="20"/>
              </w:rPr>
              <w:t xml:space="preserve">公开05表 </w:t>
            </w:r>
          </w:p>
        </w:tc>
      </w:tr>
      <w:tr>
        <w:tblPrEx>
          <w:tblCellMar>
            <w:top w:w="0" w:type="dxa"/>
            <w:left w:w="0" w:type="dxa"/>
            <w:bottom w:w="0" w:type="dxa"/>
            <w:right w:w="0" w:type="dxa"/>
          </w:tblCellMar>
        </w:tblPrEx>
        <w:trPr>
          <w:trHeight w:val="308" w:hRule="atLeast"/>
        </w:trPr>
        <w:tc>
          <w:tcPr>
            <w:tcW w:w="6195" w:type="dxa"/>
            <w:gridSpan w:val="4"/>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项    目</w:t>
            </w:r>
          </w:p>
        </w:tc>
        <w:tc>
          <w:tcPr>
            <w:tcW w:w="2318" w:type="dxa"/>
            <w:vMerge w:val="restart"/>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本年支出合计</w:t>
            </w:r>
          </w:p>
        </w:tc>
        <w:tc>
          <w:tcPr>
            <w:tcW w:w="2120" w:type="dxa"/>
            <w:vMerge w:val="restart"/>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基本支出</w:t>
            </w:r>
          </w:p>
        </w:tc>
        <w:tc>
          <w:tcPr>
            <w:tcW w:w="3321" w:type="dxa"/>
            <w:vMerge w:val="restart"/>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项目支出</w:t>
            </w:r>
          </w:p>
        </w:tc>
      </w:tr>
      <w:tr>
        <w:tblPrEx>
          <w:tblCellMar>
            <w:top w:w="0" w:type="dxa"/>
            <w:left w:w="0" w:type="dxa"/>
            <w:bottom w:w="0" w:type="dxa"/>
            <w:right w:w="0" w:type="dxa"/>
          </w:tblCellMar>
        </w:tblPrEx>
        <w:trPr>
          <w:trHeight w:val="312" w:hRule="atLeast"/>
        </w:trPr>
        <w:tc>
          <w:tcPr>
            <w:tcW w:w="2250" w:type="dxa"/>
            <w:gridSpan w:val="3"/>
            <w:vMerge w:val="restart"/>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支出功能分类科目编码</w:t>
            </w:r>
          </w:p>
        </w:tc>
        <w:tc>
          <w:tcPr>
            <w:tcW w:w="3945"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科目名称</w:t>
            </w:r>
          </w:p>
        </w:tc>
        <w:tc>
          <w:tcPr>
            <w:tcW w:w="2318"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2120"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3321"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r>
      <w:tr>
        <w:tblPrEx>
          <w:tblCellMar>
            <w:top w:w="0" w:type="dxa"/>
            <w:left w:w="0" w:type="dxa"/>
            <w:bottom w:w="0" w:type="dxa"/>
            <w:right w:w="0" w:type="dxa"/>
          </w:tblCellMar>
        </w:tblPrEx>
        <w:trPr>
          <w:trHeight w:val="312" w:hRule="atLeast"/>
        </w:trPr>
        <w:tc>
          <w:tcPr>
            <w:tcW w:w="2250" w:type="dxa"/>
            <w:gridSpan w:val="3"/>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3945"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2318"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2120"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3321"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r>
      <w:tr>
        <w:tblPrEx>
          <w:tblCellMar>
            <w:top w:w="0" w:type="dxa"/>
            <w:left w:w="0" w:type="dxa"/>
            <w:bottom w:w="0" w:type="dxa"/>
            <w:right w:w="0" w:type="dxa"/>
          </w:tblCellMar>
        </w:tblPrEx>
        <w:trPr>
          <w:trHeight w:val="312" w:hRule="atLeast"/>
        </w:trPr>
        <w:tc>
          <w:tcPr>
            <w:tcW w:w="2250" w:type="dxa"/>
            <w:gridSpan w:val="3"/>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3945"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2318"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2120"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3321"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r>
      <w:tr>
        <w:tblPrEx>
          <w:tblCellMar>
            <w:top w:w="0" w:type="dxa"/>
            <w:left w:w="0" w:type="dxa"/>
            <w:bottom w:w="0" w:type="dxa"/>
            <w:right w:w="0" w:type="dxa"/>
          </w:tblCellMar>
        </w:tblPrEx>
        <w:trPr>
          <w:trHeight w:val="308" w:hRule="atLeast"/>
        </w:trPr>
        <w:tc>
          <w:tcPr>
            <w:tcW w:w="1181" w:type="dxa"/>
            <w:vMerge w:val="restart"/>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类</w:t>
            </w:r>
          </w:p>
        </w:tc>
        <w:tc>
          <w:tcPr>
            <w:tcW w:w="493"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款</w:t>
            </w:r>
          </w:p>
        </w:tc>
        <w:tc>
          <w:tcPr>
            <w:tcW w:w="576"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项</w:t>
            </w:r>
          </w:p>
        </w:tc>
        <w:tc>
          <w:tcPr>
            <w:tcW w:w="394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栏次</w:t>
            </w:r>
          </w:p>
        </w:tc>
        <w:tc>
          <w:tcPr>
            <w:tcW w:w="231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w:t>
            </w:r>
          </w:p>
        </w:tc>
        <w:tc>
          <w:tcPr>
            <w:tcW w:w="212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w:t>
            </w:r>
          </w:p>
        </w:tc>
        <w:tc>
          <w:tcPr>
            <w:tcW w:w="332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w:t>
            </w:r>
          </w:p>
        </w:tc>
      </w:tr>
      <w:tr>
        <w:tblPrEx>
          <w:tblCellMar>
            <w:top w:w="0" w:type="dxa"/>
            <w:left w:w="0" w:type="dxa"/>
            <w:bottom w:w="0" w:type="dxa"/>
            <w:right w:w="0" w:type="dxa"/>
          </w:tblCellMar>
        </w:tblPrEx>
        <w:trPr>
          <w:trHeight w:val="308" w:hRule="atLeast"/>
        </w:trPr>
        <w:tc>
          <w:tcPr>
            <w:tcW w:w="1181" w:type="dxa"/>
            <w:vMerge w:val="continue"/>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493"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576"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394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合计</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3,597,701.70</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3,597,701.70</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社会保障和就业支出</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762,633.43</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762,633.43</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20805</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行政事业单位离退休</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603,579.43</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603,579.43</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2080501</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归口管理的行政单位离退休</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96,716.00</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96,716.00</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2080505</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机关事业单位基本养老保险缴费支出</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343,848.63</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343,848.63</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2080506</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机关事业单位职业年金缴费支出</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163,014.80</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163,014.80</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20808</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抚恤</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148,454.00</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148,454.00</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2080801</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死亡抚恤</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134,462.00</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134,462.00</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2080899</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其他优抚支出</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13,992.00</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13,992.00</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20827</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财政对其他社会保险基金的补助</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10,600.00</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10,600.00</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2082702</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财政对工伤保险基金的补助</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1,600.00</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1,600.00</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2082703</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财政对生育保险基金的补助</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9,000.00</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9,000.00</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210</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卫生健康支出</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213,560.26</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213,560.26</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21011</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行政事业单位医疗</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213,560.26</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213,560.26</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2101101</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行政单位医疗</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213,560.26</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213,560.26</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215</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资源勘探信息等支出</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2,488,407.51</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2,488,407.51</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21501</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资源勘探开发</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433,602.00</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433,602.00</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2150101</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行政运行</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433,602.00</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433,602.00</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21505</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工业和信息产业监管</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2,054,805.51</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2,054,805.51</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2150501</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行政运行</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2,054,805.51</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2,054,805.51</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221</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住房保障支出</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22102</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住房改革支出</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2210201</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住房公积金</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229</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其他支出</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61,536.50</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61,536.50</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22999</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其他支出</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61,536.50</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61,536.50</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308" w:hRule="atLeast"/>
        </w:trPr>
        <w:tc>
          <w:tcPr>
            <w:tcW w:w="225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2299901</w:t>
            </w:r>
          </w:p>
        </w:tc>
        <w:tc>
          <w:tcPr>
            <w:tcW w:w="394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其他支出</w:t>
            </w:r>
          </w:p>
        </w:tc>
        <w:tc>
          <w:tcPr>
            <w:tcW w:w="231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61,536.50</w:t>
            </w:r>
          </w:p>
        </w:tc>
        <w:tc>
          <w:tcPr>
            <w:tcW w:w="2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61,536.50</w:t>
            </w:r>
          </w:p>
        </w:tc>
        <w:tc>
          <w:tcPr>
            <w:tcW w:w="332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18" w:hRule="atLeast"/>
        </w:trPr>
        <w:tc>
          <w:tcPr>
            <w:tcW w:w="13954" w:type="dxa"/>
            <w:gridSpan w:val="7"/>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注：本表反映部门本年度一般公共预算财政拨款支出情况。</w:t>
            </w:r>
          </w:p>
        </w:tc>
      </w:tr>
    </w:tbl>
    <w:p>
      <w:pPr>
        <w:spacing w:line="580" w:lineRule="exact"/>
        <w:rPr>
          <w:rFonts w:ascii="仿宋_GB2312" w:hAnsi="仿宋" w:eastAsia="仿宋_GB2312" w:cs="仿宋_GB2312"/>
          <w:kern w:val="1"/>
          <w:sz w:val="36"/>
          <w:szCs w:val="36"/>
        </w:rPr>
      </w:pPr>
    </w:p>
    <w:p>
      <w:pPr>
        <w:widowControl/>
        <w:jc w:val="left"/>
        <w:textAlignment w:val="center"/>
        <w:rPr>
          <w:rFonts w:ascii="宋体" w:hAnsi="宋体" w:cs="宋体"/>
          <w:color w:val="000000"/>
          <w:kern w:val="0"/>
          <w:sz w:val="20"/>
          <w:szCs w:val="20"/>
        </w:rPr>
        <w:sectPr>
          <w:pgSz w:w="16838" w:h="11906" w:orient="landscape"/>
          <w:pgMar w:top="1797" w:right="1440" w:bottom="1797" w:left="1440" w:header="851" w:footer="992" w:gutter="0"/>
          <w:cols w:space="720" w:num="1"/>
          <w:docGrid w:type="lines" w:linePitch="312" w:charSpace="0"/>
        </w:sectPr>
      </w:pPr>
    </w:p>
    <w:tbl>
      <w:tblPr>
        <w:tblStyle w:val="5"/>
        <w:tblW w:w="13987" w:type="dxa"/>
        <w:tblInd w:w="0" w:type="dxa"/>
        <w:tblLayout w:type="fixed"/>
        <w:tblCellMar>
          <w:top w:w="0" w:type="dxa"/>
          <w:left w:w="0" w:type="dxa"/>
          <w:bottom w:w="0" w:type="dxa"/>
          <w:right w:w="0" w:type="dxa"/>
        </w:tblCellMar>
      </w:tblPr>
      <w:tblGrid>
        <w:gridCol w:w="1219"/>
        <w:gridCol w:w="1836"/>
        <w:gridCol w:w="1611"/>
        <w:gridCol w:w="1459"/>
        <w:gridCol w:w="1836"/>
        <w:gridCol w:w="1653"/>
        <w:gridCol w:w="1332"/>
        <w:gridCol w:w="1660"/>
        <w:gridCol w:w="1381"/>
      </w:tblGrid>
      <w:tr>
        <w:tblPrEx>
          <w:tblCellMar>
            <w:top w:w="0" w:type="dxa"/>
            <w:left w:w="0" w:type="dxa"/>
            <w:bottom w:w="0" w:type="dxa"/>
            <w:right w:w="0" w:type="dxa"/>
          </w:tblCellMar>
        </w:tblPrEx>
        <w:trPr>
          <w:trHeight w:val="737" w:hRule="atLeast"/>
        </w:trPr>
        <w:tc>
          <w:tcPr>
            <w:tcW w:w="13987" w:type="dxa"/>
            <w:gridSpan w:val="9"/>
            <w:tcBorders>
              <w:top w:val="nil"/>
              <w:left w:val="nil"/>
              <w:bottom w:val="nil"/>
              <w:right w:val="nil"/>
            </w:tcBorders>
            <w:shd w:val="clear" w:color="auto" w:fill="auto"/>
            <w:noWrap/>
            <w:tcMar>
              <w:top w:w="12" w:type="dxa"/>
              <w:left w:w="12" w:type="dxa"/>
              <w:right w:w="12" w:type="dxa"/>
            </w:tcMar>
            <w:vAlign w:val="bottom"/>
          </w:tcPr>
          <w:p>
            <w:pPr>
              <w:jc w:val="center"/>
              <w:rPr>
                <w:rFonts w:ascii="Arial" w:hAnsi="Arial" w:cs="Arial"/>
                <w:color w:val="000000"/>
                <w:sz w:val="20"/>
                <w:szCs w:val="20"/>
              </w:rPr>
            </w:pPr>
            <w:r>
              <w:rPr>
                <w:rFonts w:hint="eastAsia" w:ascii="宋体" w:hAnsi="宋体" w:cs="宋体"/>
                <w:color w:val="000000"/>
                <w:kern w:val="0"/>
                <w:sz w:val="44"/>
                <w:szCs w:val="44"/>
              </w:rPr>
              <w:t>一般公共预算财政拨款基本支出决算表</w:t>
            </w:r>
          </w:p>
        </w:tc>
      </w:tr>
      <w:tr>
        <w:tblPrEx>
          <w:tblCellMar>
            <w:top w:w="0" w:type="dxa"/>
            <w:left w:w="0" w:type="dxa"/>
            <w:bottom w:w="0" w:type="dxa"/>
            <w:right w:w="0" w:type="dxa"/>
          </w:tblCellMar>
        </w:tblPrEx>
        <w:trPr>
          <w:trHeight w:val="406" w:hRule="atLeast"/>
        </w:trPr>
        <w:tc>
          <w:tcPr>
            <w:tcW w:w="1219"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836"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611"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459"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836"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653"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33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66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381" w:type="dxa"/>
            <w:tcBorders>
              <w:top w:val="nil"/>
              <w:left w:val="nil"/>
              <w:bottom w:val="nil"/>
              <w:right w:val="nil"/>
            </w:tcBorders>
            <w:shd w:val="clear" w:color="auto" w:fill="auto"/>
            <w:noWrap/>
            <w:tcMar>
              <w:top w:w="12" w:type="dxa"/>
              <w:left w:w="12" w:type="dxa"/>
              <w:right w:w="12" w:type="dxa"/>
            </w:tcMar>
            <w:vAlign w:val="bottom"/>
          </w:tcPr>
          <w:p>
            <w:pPr>
              <w:widowControl/>
              <w:jc w:val="right"/>
              <w:textAlignment w:val="bottom"/>
              <w:rPr>
                <w:rFonts w:ascii="宋体" w:hAnsi="宋体" w:cs="宋体"/>
                <w:color w:val="000000"/>
                <w:sz w:val="20"/>
                <w:szCs w:val="20"/>
              </w:rPr>
            </w:pPr>
            <w:r>
              <w:rPr>
                <w:rFonts w:hint="eastAsia" w:ascii="宋体" w:hAnsi="宋体" w:cs="宋体"/>
                <w:color w:val="000000"/>
                <w:kern w:val="0"/>
                <w:sz w:val="20"/>
                <w:szCs w:val="20"/>
              </w:rPr>
              <w:t>金额单位：元</w:t>
            </w:r>
          </w:p>
        </w:tc>
      </w:tr>
      <w:tr>
        <w:tblPrEx>
          <w:tblCellMar>
            <w:top w:w="0" w:type="dxa"/>
            <w:left w:w="0" w:type="dxa"/>
            <w:bottom w:w="0" w:type="dxa"/>
            <w:right w:w="0" w:type="dxa"/>
          </w:tblCellMar>
        </w:tblPrEx>
        <w:trPr>
          <w:trHeight w:val="477" w:hRule="atLeast"/>
        </w:trPr>
        <w:tc>
          <w:tcPr>
            <w:tcW w:w="4666" w:type="dxa"/>
            <w:gridSpan w:val="3"/>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r>
              <w:rPr>
                <w:rFonts w:hint="eastAsia" w:ascii="宋体" w:hAnsi="宋体" w:cs="宋体"/>
                <w:color w:val="000000"/>
                <w:kern w:val="0"/>
                <w:sz w:val="20"/>
                <w:szCs w:val="20"/>
              </w:rPr>
              <w:t>编制单位：庐山市工业和信息化委员会（本级）</w:t>
            </w:r>
          </w:p>
        </w:tc>
        <w:tc>
          <w:tcPr>
            <w:tcW w:w="1459"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836" w:type="dxa"/>
            <w:tcBorders>
              <w:top w:val="nil"/>
              <w:left w:val="nil"/>
              <w:bottom w:val="nil"/>
              <w:right w:val="nil"/>
            </w:tcBorders>
            <w:shd w:val="clear" w:color="auto" w:fill="auto"/>
            <w:noWrap/>
            <w:tcMar>
              <w:top w:w="12" w:type="dxa"/>
              <w:left w:w="12" w:type="dxa"/>
              <w:right w:w="12" w:type="dxa"/>
            </w:tcMar>
            <w:vAlign w:val="bottom"/>
          </w:tcPr>
          <w:p>
            <w:pPr>
              <w:widowControl/>
              <w:jc w:val="center"/>
              <w:textAlignment w:val="bottom"/>
              <w:rPr>
                <w:rFonts w:ascii="宋体" w:hAnsi="宋体" w:cs="宋体"/>
                <w:color w:val="000000"/>
                <w:sz w:val="20"/>
                <w:szCs w:val="20"/>
              </w:rPr>
            </w:pPr>
            <w:r>
              <w:rPr>
                <w:rFonts w:hint="eastAsia" w:ascii="宋体" w:hAnsi="宋体" w:cs="宋体"/>
                <w:color w:val="000000"/>
                <w:kern w:val="0"/>
                <w:sz w:val="20"/>
                <w:szCs w:val="20"/>
              </w:rPr>
              <w:t>2019年度</w:t>
            </w:r>
          </w:p>
        </w:tc>
        <w:tc>
          <w:tcPr>
            <w:tcW w:w="1653"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332"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66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381" w:type="dxa"/>
            <w:tcBorders>
              <w:top w:val="nil"/>
              <w:left w:val="nil"/>
              <w:bottom w:val="nil"/>
              <w:right w:val="nil"/>
            </w:tcBorders>
            <w:shd w:val="clear" w:color="auto" w:fill="auto"/>
            <w:noWrap/>
            <w:tcMar>
              <w:top w:w="12" w:type="dxa"/>
              <w:left w:w="12" w:type="dxa"/>
              <w:right w:w="12" w:type="dxa"/>
            </w:tcMar>
            <w:vAlign w:val="bottom"/>
          </w:tcPr>
          <w:p>
            <w:pPr>
              <w:widowControl/>
              <w:jc w:val="right"/>
              <w:textAlignment w:val="bottom"/>
              <w:rPr>
                <w:rFonts w:ascii="宋体" w:hAnsi="宋体" w:cs="宋体"/>
                <w:color w:val="000000"/>
                <w:sz w:val="20"/>
                <w:szCs w:val="20"/>
              </w:rPr>
            </w:pPr>
            <w:r>
              <w:rPr>
                <w:rFonts w:hint="eastAsia" w:ascii="宋体" w:hAnsi="宋体" w:cs="宋体"/>
                <w:color w:val="000000"/>
                <w:kern w:val="0"/>
                <w:sz w:val="20"/>
                <w:szCs w:val="20"/>
              </w:rPr>
              <w:t>公开06表</w:t>
            </w:r>
          </w:p>
        </w:tc>
      </w:tr>
      <w:tr>
        <w:tblPrEx>
          <w:tblCellMar>
            <w:top w:w="0" w:type="dxa"/>
            <w:left w:w="0" w:type="dxa"/>
            <w:bottom w:w="0" w:type="dxa"/>
            <w:right w:w="0" w:type="dxa"/>
          </w:tblCellMar>
        </w:tblPrEx>
        <w:trPr>
          <w:trHeight w:val="413" w:hRule="atLeast"/>
        </w:trPr>
        <w:tc>
          <w:tcPr>
            <w:tcW w:w="4666" w:type="dxa"/>
            <w:gridSpan w:val="3"/>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人员经费</w:t>
            </w:r>
          </w:p>
        </w:tc>
        <w:tc>
          <w:tcPr>
            <w:tcW w:w="9321" w:type="dxa"/>
            <w:gridSpan w:val="6"/>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公用经费</w:t>
            </w:r>
          </w:p>
        </w:tc>
      </w:tr>
      <w:tr>
        <w:tblPrEx>
          <w:tblCellMar>
            <w:top w:w="0" w:type="dxa"/>
            <w:left w:w="0" w:type="dxa"/>
            <w:bottom w:w="0" w:type="dxa"/>
            <w:right w:w="0" w:type="dxa"/>
          </w:tblCellMar>
        </w:tblPrEx>
        <w:trPr>
          <w:trHeight w:val="654" w:hRule="atLeast"/>
        </w:trPr>
        <w:tc>
          <w:tcPr>
            <w:tcW w:w="1219" w:type="dxa"/>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经济分类科目编码</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科目名称</w:t>
            </w:r>
          </w:p>
        </w:tc>
        <w:tc>
          <w:tcPr>
            <w:tcW w:w="161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金额</w:t>
            </w:r>
          </w:p>
        </w:tc>
        <w:tc>
          <w:tcPr>
            <w:tcW w:w="1459"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经济分类科目编码</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科目名称</w:t>
            </w:r>
          </w:p>
        </w:tc>
        <w:tc>
          <w:tcPr>
            <w:tcW w:w="1653"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金额</w:t>
            </w:r>
          </w:p>
        </w:tc>
        <w:tc>
          <w:tcPr>
            <w:tcW w:w="1332"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经济分类科目编码</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科目名称</w:t>
            </w:r>
          </w:p>
        </w:tc>
        <w:tc>
          <w:tcPr>
            <w:tcW w:w="1381"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金额</w:t>
            </w:r>
          </w:p>
        </w:tc>
      </w:tr>
      <w:tr>
        <w:tblPrEx>
          <w:tblCellMar>
            <w:top w:w="0" w:type="dxa"/>
            <w:left w:w="0" w:type="dxa"/>
            <w:bottom w:w="0" w:type="dxa"/>
            <w:right w:w="0" w:type="dxa"/>
          </w:tblCellMar>
        </w:tblPrEx>
        <w:trPr>
          <w:trHeight w:val="596"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301</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工资福利支出</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1,870,615.11</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302</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商品和服务支出</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951,674.49</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307</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债务利息及费用支出</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546"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30101</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基本工资</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579,931.00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30201</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办公费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56,416.96</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30701</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国内债务付息</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86"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30102</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津贴补贴</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30202</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印刷费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30702</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国外债务付息</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556"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30103</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奖金</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524,195.69</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30203</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咨询费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30703</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国内债务发行费用</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556"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30106</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伙食补助费</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30204</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手续费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30704</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国外债务发行费用</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86"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30107</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绩效工资</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30205</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水费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2,457.50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310</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资本性支出</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22,430.00</w:t>
            </w:r>
          </w:p>
        </w:tc>
      </w:tr>
      <w:tr>
        <w:tblPrEx>
          <w:tblCellMar>
            <w:top w:w="0" w:type="dxa"/>
            <w:left w:w="0" w:type="dxa"/>
            <w:bottom w:w="0" w:type="dxa"/>
            <w:right w:w="0" w:type="dxa"/>
          </w:tblCellMar>
        </w:tblPrEx>
        <w:trPr>
          <w:trHeight w:val="614"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30108</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机关事业单位基本养老保险缴费</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313,768.56</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30206</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电费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10,568.86</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31001</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房屋建筑物购建</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614"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30109</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职业年金缴费</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156,428.32</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30207</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邮电费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21,217.00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31002</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办公设备购置</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14,230.00</w:t>
            </w:r>
          </w:p>
        </w:tc>
      </w:tr>
      <w:tr>
        <w:tblPrEx>
          <w:tblCellMar>
            <w:top w:w="0" w:type="dxa"/>
            <w:left w:w="0" w:type="dxa"/>
            <w:bottom w:w="0" w:type="dxa"/>
            <w:right w:w="0" w:type="dxa"/>
          </w:tblCellMar>
        </w:tblPrEx>
        <w:trPr>
          <w:trHeight w:val="662"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30110</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职工基本医疗保险缴费</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203,914.06</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30208</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取暖费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31003</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专用设备购置</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8,200.00</w:t>
            </w:r>
          </w:p>
        </w:tc>
      </w:tr>
      <w:tr>
        <w:tblPrEx>
          <w:tblCellMar>
            <w:top w:w="0" w:type="dxa"/>
            <w:left w:w="0" w:type="dxa"/>
            <w:bottom w:w="0" w:type="dxa"/>
            <w:right w:w="0" w:type="dxa"/>
          </w:tblCellMar>
        </w:tblPrEx>
        <w:trPr>
          <w:trHeight w:val="574"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30111</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公务员医疗补助缴款</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30209</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物业管理费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31005</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基础设施建设</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594"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30112</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其他社会保障缴费</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20,813.48</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30211</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差旅费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41,549.50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31006</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大型修缮</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574"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30113</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住房公积金</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71,564.00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30212</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因公出国（境）费用</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31007</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信息网络及软件购置更新</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514"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30114</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医疗费</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30213</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维修（护）费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3,835.00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31008</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物资储备</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94"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30199</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其他工资福利支出</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30214</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租赁费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31009</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土地补偿</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94"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303</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对个人和家庭的补助</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752,982.10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30215</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会议费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31010</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安置补助</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574"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30301</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离休费</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103,916.00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30216</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培训费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310111</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地上附着物和青苗补偿</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662"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30302</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退休费</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30217</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公务接待费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24,118.00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31012</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拆迁补偿</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90"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30303</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退职（役）费</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30218</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专用材料费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31013</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公务用车购置</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662"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30304</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抚恤金</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134,462.00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30224</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被装购置费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31019</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其他交通工具购置</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662"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30305</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生活补贴</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514,604.10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30225</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专用燃料费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31021</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文物和陈列品购置</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614"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30306</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救济费</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30226</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劳务费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589,032.87</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31022</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无形资产购置</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514"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30307</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医疗费补助</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30227</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委托业务费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31099</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其他资本性支出</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54"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30308</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助学金</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30228</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工会经费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46,300.00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312</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对企业补助</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46"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30309</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奖励金</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30229</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福利费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42,929.20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31201</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资本金注入</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662"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30310</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个人农业生产补贴</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30231</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公务用车运行维护费</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31203</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政府投资基金股权投资</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514"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30399</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其他对个人和家庭的补助支出</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30239</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其他交通费用</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85,240.00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31204</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费用补贴</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514"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2"/>
                <w:szCs w:val="22"/>
              </w:rPr>
            </w:pP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30240</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税金及附加费用</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31205</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利息补贴</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662"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2"/>
                <w:szCs w:val="22"/>
              </w:rPr>
            </w:pP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30299</w:t>
            </w: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其他商品和服务支出</w:t>
            </w: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28,009.60</w:t>
            </w: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31299</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其他对企业补助</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66"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2"/>
                <w:szCs w:val="22"/>
              </w:rPr>
            </w:pP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2"/>
                <w:szCs w:val="22"/>
              </w:rPr>
            </w:pP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399</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其他支出</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434"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2"/>
                <w:szCs w:val="22"/>
              </w:rPr>
            </w:pP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2"/>
                <w:szCs w:val="22"/>
              </w:rPr>
            </w:pP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39906</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赠与</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614"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2"/>
                <w:szCs w:val="22"/>
              </w:rPr>
            </w:pP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2"/>
                <w:szCs w:val="22"/>
              </w:rPr>
            </w:pP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39907</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国家赔偿费用支出</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662"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2"/>
                <w:szCs w:val="22"/>
              </w:rPr>
            </w:pP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2"/>
                <w:szCs w:val="22"/>
              </w:rPr>
            </w:pP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39908</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对民间非营利组织和群众性自治组织补贴</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662" w:hRule="atLeast"/>
        </w:trPr>
        <w:tc>
          <w:tcPr>
            <w:tcW w:w="1219"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2"/>
                <w:szCs w:val="22"/>
              </w:rPr>
            </w:pPr>
          </w:p>
        </w:tc>
        <w:tc>
          <w:tcPr>
            <w:tcW w:w="1459"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8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1653"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2"/>
                <w:szCs w:val="22"/>
              </w:rPr>
            </w:pPr>
          </w:p>
        </w:tc>
        <w:tc>
          <w:tcPr>
            <w:tcW w:w="1332"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39999</w:t>
            </w:r>
          </w:p>
        </w:tc>
        <w:tc>
          <w:tcPr>
            <w:tcW w:w="1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其他支出</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0.00</w:t>
            </w:r>
          </w:p>
        </w:tc>
      </w:tr>
      <w:tr>
        <w:tblPrEx>
          <w:tblCellMar>
            <w:top w:w="0" w:type="dxa"/>
            <w:left w:w="0" w:type="dxa"/>
            <w:bottom w:w="0" w:type="dxa"/>
            <w:right w:w="0" w:type="dxa"/>
          </w:tblCellMar>
        </w:tblPrEx>
        <w:trPr>
          <w:trHeight w:val="662" w:hRule="atLeast"/>
        </w:trPr>
        <w:tc>
          <w:tcPr>
            <w:tcW w:w="3055" w:type="dxa"/>
            <w:gridSpan w:val="2"/>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人员经费合计</w:t>
            </w:r>
          </w:p>
        </w:tc>
        <w:tc>
          <w:tcPr>
            <w:tcW w:w="161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2,623,597.21</w:t>
            </w:r>
          </w:p>
        </w:tc>
        <w:tc>
          <w:tcPr>
            <w:tcW w:w="7940" w:type="dxa"/>
            <w:gridSpan w:val="5"/>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公用支出合计</w:t>
            </w:r>
          </w:p>
        </w:tc>
        <w:tc>
          <w:tcPr>
            <w:tcW w:w="1381"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974,104.49</w:t>
            </w:r>
          </w:p>
        </w:tc>
      </w:tr>
      <w:tr>
        <w:tblPrEx>
          <w:tblCellMar>
            <w:top w:w="0" w:type="dxa"/>
            <w:left w:w="0" w:type="dxa"/>
            <w:bottom w:w="0" w:type="dxa"/>
            <w:right w:w="0" w:type="dxa"/>
          </w:tblCellMar>
        </w:tblPrEx>
        <w:trPr>
          <w:trHeight w:val="308" w:hRule="atLeast"/>
        </w:trPr>
        <w:tc>
          <w:tcPr>
            <w:tcW w:w="13987" w:type="dxa"/>
            <w:gridSpan w:val="9"/>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注：本表反映部门本年度一般公共预算财政拨款基本支出明细情况。</w:t>
            </w:r>
          </w:p>
        </w:tc>
      </w:tr>
    </w:tbl>
    <w:p>
      <w:pPr>
        <w:rPr>
          <w:rFonts w:ascii="Arial" w:hAnsi="Arial" w:cs="Arial"/>
          <w:color w:val="000000"/>
          <w:sz w:val="20"/>
          <w:szCs w:val="20"/>
        </w:rPr>
        <w:sectPr>
          <w:pgSz w:w="16838" w:h="11906" w:orient="landscape"/>
          <w:pgMar w:top="1797" w:right="1440" w:bottom="1797" w:left="1440" w:header="851" w:footer="992" w:gutter="0"/>
          <w:cols w:space="720" w:num="1"/>
          <w:docGrid w:type="lines" w:linePitch="312" w:charSpace="0"/>
        </w:sectPr>
      </w:pPr>
    </w:p>
    <w:tbl>
      <w:tblPr>
        <w:tblStyle w:val="5"/>
        <w:tblW w:w="13494" w:type="dxa"/>
        <w:tblInd w:w="0" w:type="dxa"/>
        <w:tblLayout w:type="fixed"/>
        <w:tblCellMar>
          <w:top w:w="0" w:type="dxa"/>
          <w:left w:w="0" w:type="dxa"/>
          <w:bottom w:w="0" w:type="dxa"/>
          <w:right w:w="0" w:type="dxa"/>
        </w:tblCellMar>
      </w:tblPr>
      <w:tblGrid>
        <w:gridCol w:w="4847"/>
        <w:gridCol w:w="728"/>
        <w:gridCol w:w="4450"/>
        <w:gridCol w:w="3074"/>
        <w:gridCol w:w="395"/>
      </w:tblGrid>
      <w:tr>
        <w:tblPrEx>
          <w:tblCellMar>
            <w:top w:w="0" w:type="dxa"/>
            <w:left w:w="0" w:type="dxa"/>
            <w:bottom w:w="0" w:type="dxa"/>
            <w:right w:w="0" w:type="dxa"/>
          </w:tblCellMar>
        </w:tblPrEx>
        <w:trPr>
          <w:trHeight w:val="554" w:hRule="atLeast"/>
        </w:trPr>
        <w:tc>
          <w:tcPr>
            <w:tcW w:w="13494" w:type="dxa"/>
            <w:gridSpan w:val="5"/>
            <w:tcBorders>
              <w:top w:val="nil"/>
              <w:left w:val="nil"/>
              <w:bottom w:val="nil"/>
              <w:right w:val="nil"/>
            </w:tcBorders>
            <w:shd w:val="clear" w:color="auto" w:fill="auto"/>
            <w:noWrap/>
            <w:tcMar>
              <w:top w:w="12" w:type="dxa"/>
              <w:left w:w="12" w:type="dxa"/>
              <w:right w:w="12" w:type="dxa"/>
            </w:tcMar>
            <w:vAlign w:val="bottom"/>
          </w:tcPr>
          <w:p>
            <w:pPr>
              <w:jc w:val="center"/>
              <w:rPr>
                <w:rFonts w:ascii="Arial" w:hAnsi="Arial" w:cs="Arial"/>
                <w:color w:val="000000"/>
                <w:sz w:val="20"/>
                <w:szCs w:val="20"/>
              </w:rPr>
            </w:pPr>
            <w:r>
              <w:rPr>
                <w:rFonts w:hint="eastAsia" w:ascii="宋体" w:hAnsi="宋体" w:cs="宋体"/>
                <w:color w:val="000000"/>
                <w:kern w:val="0"/>
                <w:sz w:val="44"/>
                <w:szCs w:val="44"/>
              </w:rPr>
              <w:t>一般公共预算财政拨款“三公”经费支出决算表</w:t>
            </w:r>
          </w:p>
        </w:tc>
      </w:tr>
      <w:tr>
        <w:tblPrEx>
          <w:tblCellMar>
            <w:top w:w="0" w:type="dxa"/>
            <w:left w:w="0" w:type="dxa"/>
            <w:bottom w:w="0" w:type="dxa"/>
            <w:right w:w="0" w:type="dxa"/>
          </w:tblCellMar>
        </w:tblPrEx>
        <w:trPr>
          <w:trHeight w:val="422" w:hRule="atLeast"/>
        </w:trPr>
        <w:tc>
          <w:tcPr>
            <w:tcW w:w="4847"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728"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445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3074" w:type="dxa"/>
            <w:tcBorders>
              <w:top w:val="nil"/>
              <w:left w:val="nil"/>
              <w:bottom w:val="nil"/>
              <w:right w:val="nil"/>
            </w:tcBorders>
            <w:shd w:val="clear" w:color="auto" w:fill="auto"/>
            <w:noWrap/>
            <w:tcMar>
              <w:top w:w="12" w:type="dxa"/>
              <w:left w:w="12" w:type="dxa"/>
              <w:right w:w="12" w:type="dxa"/>
            </w:tcMar>
            <w:vAlign w:val="bottom"/>
          </w:tcPr>
          <w:p>
            <w:pPr>
              <w:widowControl/>
              <w:jc w:val="right"/>
              <w:textAlignment w:val="bottom"/>
              <w:rPr>
                <w:rFonts w:ascii="宋体" w:hAnsi="宋体" w:cs="宋体"/>
                <w:color w:val="000000"/>
                <w:sz w:val="20"/>
                <w:szCs w:val="20"/>
              </w:rPr>
            </w:pPr>
            <w:r>
              <w:rPr>
                <w:rFonts w:hint="eastAsia" w:ascii="宋体" w:hAnsi="宋体" w:cs="宋体"/>
                <w:color w:val="000000"/>
                <w:kern w:val="0"/>
                <w:sz w:val="20"/>
                <w:szCs w:val="20"/>
              </w:rPr>
              <w:t>金额单位：元</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90" w:hRule="atLeast"/>
        </w:trPr>
        <w:tc>
          <w:tcPr>
            <w:tcW w:w="4847" w:type="dxa"/>
            <w:tcBorders>
              <w:top w:val="nil"/>
              <w:left w:val="nil"/>
              <w:bottom w:val="nil"/>
              <w:right w:val="nil"/>
            </w:tcBorders>
            <w:shd w:val="clear" w:color="auto" w:fill="auto"/>
            <w:noWrap/>
            <w:tcMar>
              <w:top w:w="12" w:type="dxa"/>
              <w:left w:w="12" w:type="dxa"/>
              <w:right w:w="12" w:type="dxa"/>
            </w:tcMar>
            <w:vAlign w:val="bottom"/>
          </w:tcPr>
          <w:p>
            <w:pPr>
              <w:widowControl/>
              <w:jc w:val="left"/>
              <w:textAlignment w:val="bottom"/>
              <w:rPr>
                <w:rFonts w:ascii="宋体" w:hAnsi="宋体" w:cs="宋体"/>
                <w:color w:val="000000"/>
                <w:sz w:val="20"/>
                <w:szCs w:val="20"/>
              </w:rPr>
            </w:pPr>
            <w:r>
              <w:rPr>
                <w:rFonts w:hint="eastAsia" w:ascii="宋体" w:hAnsi="宋体" w:cs="宋体"/>
                <w:color w:val="000000"/>
                <w:kern w:val="0"/>
                <w:sz w:val="20"/>
                <w:szCs w:val="20"/>
              </w:rPr>
              <w:t>编制单位：庐山市工业和信息化委员会（本级）</w:t>
            </w:r>
          </w:p>
        </w:tc>
        <w:tc>
          <w:tcPr>
            <w:tcW w:w="5178" w:type="dxa"/>
            <w:gridSpan w:val="2"/>
            <w:tcBorders>
              <w:top w:val="nil"/>
              <w:left w:val="nil"/>
              <w:bottom w:val="nil"/>
              <w:right w:val="nil"/>
            </w:tcBorders>
            <w:shd w:val="clear" w:color="auto" w:fill="auto"/>
            <w:noWrap/>
            <w:tcMar>
              <w:top w:w="12" w:type="dxa"/>
              <w:left w:w="12" w:type="dxa"/>
              <w:right w:w="12" w:type="dxa"/>
            </w:tcMar>
            <w:vAlign w:val="bottom"/>
          </w:tcPr>
          <w:p>
            <w:pPr>
              <w:jc w:val="center"/>
              <w:rPr>
                <w:rFonts w:ascii="Arial" w:hAnsi="Arial" w:cs="Arial"/>
                <w:color w:val="000000"/>
                <w:sz w:val="20"/>
                <w:szCs w:val="20"/>
              </w:rPr>
            </w:pPr>
            <w:r>
              <w:rPr>
                <w:rFonts w:hint="eastAsia" w:ascii="宋体" w:hAnsi="宋体" w:cs="宋体"/>
                <w:color w:val="000000"/>
                <w:kern w:val="0"/>
                <w:sz w:val="20"/>
                <w:szCs w:val="20"/>
              </w:rPr>
              <w:t>2019年度</w:t>
            </w:r>
          </w:p>
        </w:tc>
        <w:tc>
          <w:tcPr>
            <w:tcW w:w="3074" w:type="dxa"/>
            <w:tcBorders>
              <w:top w:val="nil"/>
              <w:left w:val="nil"/>
              <w:bottom w:val="nil"/>
              <w:right w:val="nil"/>
            </w:tcBorders>
            <w:shd w:val="clear" w:color="auto" w:fill="auto"/>
            <w:noWrap/>
            <w:tcMar>
              <w:top w:w="12" w:type="dxa"/>
              <w:left w:w="12" w:type="dxa"/>
              <w:right w:w="12" w:type="dxa"/>
            </w:tcMar>
            <w:vAlign w:val="bottom"/>
          </w:tcPr>
          <w:p>
            <w:pPr>
              <w:widowControl/>
              <w:jc w:val="right"/>
              <w:textAlignment w:val="bottom"/>
              <w:rPr>
                <w:rFonts w:ascii="宋体" w:hAnsi="宋体" w:cs="宋体"/>
                <w:color w:val="000000"/>
                <w:sz w:val="20"/>
                <w:szCs w:val="20"/>
              </w:rPr>
            </w:pPr>
            <w:r>
              <w:rPr>
                <w:rFonts w:hint="eastAsia" w:ascii="宋体" w:hAnsi="宋体" w:cs="宋体"/>
                <w:color w:val="000000"/>
                <w:kern w:val="0"/>
                <w:sz w:val="20"/>
                <w:szCs w:val="20"/>
              </w:rPr>
              <w:t>公开07表</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515" w:hRule="atLeast"/>
        </w:trPr>
        <w:tc>
          <w:tcPr>
            <w:tcW w:w="4847" w:type="dxa"/>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项目</w:t>
            </w:r>
          </w:p>
        </w:tc>
        <w:tc>
          <w:tcPr>
            <w:tcW w:w="728" w:type="dxa"/>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栏次</w:t>
            </w:r>
          </w:p>
        </w:tc>
        <w:tc>
          <w:tcPr>
            <w:tcW w:w="4450" w:type="dxa"/>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年初预算数</w:t>
            </w:r>
          </w:p>
        </w:tc>
        <w:tc>
          <w:tcPr>
            <w:tcW w:w="3074" w:type="dxa"/>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决算数</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行次</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4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w:t>
            </w:r>
          </w:p>
        </w:tc>
        <w:tc>
          <w:tcPr>
            <w:tcW w:w="307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83"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一、“三公”经费支出</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24,500.00</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24,118.00</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416"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1.因公出国（境）费</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400"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2.公务用车购置及运行维护费</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84"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（1）公务用车购置费</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67"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（2）公务用车运行维护费</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99"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3.公务接待费</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6</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24,500.00</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24,118.00</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416"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（1）国内接待费</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7</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24,500.00</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24,118.00</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其中：外事接待费</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8</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84"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（2）国（境）外接待费</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9</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84"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二、相关统计数</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10</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67"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1.因公出国（境）团组数（个）</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11</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84"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2.因公出国（境）人次数（人）</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12</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416"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3.公务用车购置数（辆）</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13</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99"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4.公务用车保有量（辆）</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14</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536"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5.国内公务接待批次（个）</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15</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24</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454"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其中：外事接待批次（个）</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16</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474"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6.国内公务接待人次（人）</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17</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186</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494"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其中：外事接待人次（人）</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18</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514"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7.国（境）外公务接待批次（个）</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19</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614" w:hRule="atLeast"/>
        </w:trPr>
        <w:tc>
          <w:tcPr>
            <w:tcW w:w="4847"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8.国（境）外公务接待人次（人）</w:t>
            </w:r>
          </w:p>
        </w:tc>
        <w:tc>
          <w:tcPr>
            <w:tcW w:w="728"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20</w:t>
            </w:r>
          </w:p>
        </w:tc>
        <w:tc>
          <w:tcPr>
            <w:tcW w:w="4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w:t>
            </w:r>
          </w:p>
        </w:tc>
        <w:tc>
          <w:tcPr>
            <w:tcW w:w="30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308" w:hRule="atLeast"/>
        </w:trPr>
        <w:tc>
          <w:tcPr>
            <w:tcW w:w="13099" w:type="dxa"/>
            <w:gridSpan w:val="4"/>
            <w:vMerge w:val="restar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注：本表反映部门本年度“三公”经费支出预决算情况。其中：预算数为批复的年初预算数，不包含以前年度结转的资金；决算数是包括当年一般公共预算财政拨款和以前年度结转资金安排的实际支出。</w:t>
            </w: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r>
        <w:tblPrEx>
          <w:tblCellMar>
            <w:top w:w="0" w:type="dxa"/>
            <w:left w:w="0" w:type="dxa"/>
            <w:bottom w:w="0" w:type="dxa"/>
            <w:right w:w="0" w:type="dxa"/>
          </w:tblCellMar>
        </w:tblPrEx>
        <w:trPr>
          <w:trHeight w:val="675" w:hRule="atLeast"/>
        </w:trPr>
        <w:tc>
          <w:tcPr>
            <w:tcW w:w="13099" w:type="dxa"/>
            <w:gridSpan w:val="4"/>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cs="宋体"/>
                <w:color w:val="000000"/>
                <w:sz w:val="22"/>
                <w:szCs w:val="22"/>
              </w:rPr>
            </w:pP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r>
    </w:tbl>
    <w:p>
      <w:pPr>
        <w:spacing w:line="580" w:lineRule="exact"/>
        <w:rPr>
          <w:rFonts w:ascii="仿宋_GB2312" w:hAnsi="仿宋" w:eastAsia="仿宋_GB2312" w:cs="仿宋_GB2312"/>
          <w:b/>
          <w:bCs/>
          <w:kern w:val="1"/>
          <w:sz w:val="36"/>
          <w:szCs w:val="36"/>
        </w:rPr>
      </w:pPr>
    </w:p>
    <w:p>
      <w:pPr>
        <w:spacing w:line="580" w:lineRule="exact"/>
        <w:rPr>
          <w:rFonts w:ascii="仿宋_GB2312" w:hAnsi="仿宋" w:eastAsia="仿宋_GB2312" w:cs="仿宋_GB2312"/>
          <w:b/>
          <w:bCs/>
          <w:kern w:val="1"/>
          <w:sz w:val="36"/>
          <w:szCs w:val="36"/>
        </w:rPr>
      </w:pPr>
    </w:p>
    <w:p>
      <w:pPr>
        <w:spacing w:line="580" w:lineRule="exact"/>
        <w:rPr>
          <w:rFonts w:ascii="仿宋_GB2312" w:hAnsi="仿宋" w:eastAsia="仿宋_GB2312" w:cs="仿宋_GB2312"/>
          <w:b/>
          <w:bCs/>
          <w:kern w:val="1"/>
          <w:sz w:val="36"/>
          <w:szCs w:val="36"/>
        </w:rPr>
      </w:pPr>
    </w:p>
    <w:p>
      <w:pPr>
        <w:spacing w:line="580" w:lineRule="exact"/>
        <w:rPr>
          <w:rFonts w:ascii="仿宋_GB2312" w:hAnsi="仿宋" w:eastAsia="仿宋_GB2312" w:cs="仿宋_GB2312"/>
          <w:b/>
          <w:bCs/>
          <w:kern w:val="1"/>
          <w:sz w:val="36"/>
          <w:szCs w:val="36"/>
        </w:rPr>
      </w:pPr>
    </w:p>
    <w:p>
      <w:pPr>
        <w:spacing w:line="580" w:lineRule="exact"/>
        <w:rPr>
          <w:rFonts w:ascii="仿宋_GB2312" w:hAnsi="仿宋" w:eastAsia="仿宋_GB2312" w:cs="仿宋_GB2312"/>
          <w:b/>
          <w:bCs/>
          <w:kern w:val="1"/>
          <w:sz w:val="36"/>
          <w:szCs w:val="36"/>
        </w:rPr>
      </w:pPr>
    </w:p>
    <w:p>
      <w:pPr>
        <w:spacing w:line="580" w:lineRule="exact"/>
        <w:rPr>
          <w:rFonts w:ascii="仿宋_GB2312" w:hAnsi="仿宋" w:eastAsia="仿宋_GB2312" w:cs="仿宋_GB2312"/>
          <w:b/>
          <w:bCs/>
          <w:kern w:val="1"/>
          <w:sz w:val="36"/>
          <w:szCs w:val="36"/>
        </w:rPr>
      </w:pPr>
    </w:p>
    <w:tbl>
      <w:tblPr>
        <w:tblStyle w:val="5"/>
        <w:tblpPr w:leftFromText="180" w:rightFromText="180" w:vertAnchor="text" w:horzAnchor="page" w:tblpX="1203" w:tblpY="113"/>
        <w:tblOverlap w:val="never"/>
        <w:tblW w:w="14738" w:type="dxa"/>
        <w:tblInd w:w="0" w:type="dxa"/>
        <w:tblLayout w:type="fixed"/>
        <w:tblCellMar>
          <w:top w:w="0" w:type="dxa"/>
          <w:left w:w="0" w:type="dxa"/>
          <w:bottom w:w="0" w:type="dxa"/>
          <w:right w:w="0" w:type="dxa"/>
        </w:tblCellMar>
      </w:tblPr>
      <w:tblGrid>
        <w:gridCol w:w="657"/>
        <w:gridCol w:w="445"/>
        <w:gridCol w:w="420"/>
        <w:gridCol w:w="3800"/>
        <w:gridCol w:w="1740"/>
        <w:gridCol w:w="2220"/>
        <w:gridCol w:w="1500"/>
        <w:gridCol w:w="1560"/>
        <w:gridCol w:w="1040"/>
        <w:gridCol w:w="1356"/>
      </w:tblGrid>
      <w:tr>
        <w:tblPrEx>
          <w:tblCellMar>
            <w:top w:w="0" w:type="dxa"/>
            <w:left w:w="0" w:type="dxa"/>
            <w:bottom w:w="0" w:type="dxa"/>
            <w:right w:w="0" w:type="dxa"/>
          </w:tblCellMar>
        </w:tblPrEx>
        <w:trPr>
          <w:trHeight w:val="465" w:hRule="atLeast"/>
        </w:trPr>
        <w:tc>
          <w:tcPr>
            <w:tcW w:w="14738" w:type="dxa"/>
            <w:gridSpan w:val="10"/>
            <w:tcBorders>
              <w:top w:val="nil"/>
              <w:left w:val="nil"/>
              <w:bottom w:val="nil"/>
              <w:right w:val="nil"/>
            </w:tcBorders>
            <w:shd w:val="clear" w:color="auto" w:fill="auto"/>
            <w:noWrap/>
            <w:tcMar>
              <w:top w:w="12" w:type="dxa"/>
              <w:left w:w="12" w:type="dxa"/>
              <w:right w:w="12" w:type="dxa"/>
            </w:tcMar>
            <w:vAlign w:val="bottom"/>
          </w:tcPr>
          <w:p>
            <w:pPr>
              <w:jc w:val="center"/>
              <w:rPr>
                <w:rFonts w:hint="eastAsia" w:ascii="宋体" w:hAnsi="宋体" w:cs="宋体"/>
                <w:color w:val="000000"/>
                <w:kern w:val="0"/>
                <w:sz w:val="44"/>
                <w:szCs w:val="44"/>
              </w:rPr>
            </w:pPr>
          </w:p>
          <w:p>
            <w:pPr>
              <w:jc w:val="center"/>
              <w:rPr>
                <w:rFonts w:ascii="Arial" w:hAnsi="Arial" w:cs="Arial"/>
                <w:color w:val="000000"/>
                <w:sz w:val="20"/>
                <w:szCs w:val="20"/>
              </w:rPr>
            </w:pPr>
            <w:r>
              <w:rPr>
                <w:rFonts w:hint="eastAsia" w:ascii="宋体" w:hAnsi="宋体" w:cs="宋体"/>
                <w:color w:val="000000"/>
                <w:kern w:val="0"/>
                <w:sz w:val="44"/>
                <w:szCs w:val="44"/>
              </w:rPr>
              <w:t>政府性基金预算财政拨款收入支出决算表</w:t>
            </w:r>
          </w:p>
        </w:tc>
      </w:tr>
      <w:tr>
        <w:tblPrEx>
          <w:tblCellMar>
            <w:top w:w="0" w:type="dxa"/>
            <w:left w:w="0" w:type="dxa"/>
            <w:bottom w:w="0" w:type="dxa"/>
            <w:right w:w="0" w:type="dxa"/>
          </w:tblCellMar>
        </w:tblPrEx>
        <w:trPr>
          <w:trHeight w:val="237" w:hRule="atLeast"/>
        </w:trPr>
        <w:tc>
          <w:tcPr>
            <w:tcW w:w="657"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445"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42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380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74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222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50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56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04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356" w:type="dxa"/>
            <w:tcBorders>
              <w:top w:val="nil"/>
              <w:left w:val="nil"/>
              <w:bottom w:val="nil"/>
              <w:right w:val="nil"/>
            </w:tcBorders>
            <w:shd w:val="clear" w:color="auto" w:fill="auto"/>
            <w:noWrap/>
            <w:tcMar>
              <w:top w:w="12" w:type="dxa"/>
              <w:left w:w="12" w:type="dxa"/>
              <w:right w:w="12" w:type="dxa"/>
            </w:tcMar>
            <w:vAlign w:val="bottom"/>
          </w:tcPr>
          <w:p>
            <w:pPr>
              <w:widowControl/>
              <w:jc w:val="right"/>
              <w:textAlignment w:val="bottom"/>
              <w:rPr>
                <w:rFonts w:ascii="宋体" w:hAnsi="宋体" w:cs="宋体"/>
                <w:color w:val="000000"/>
                <w:sz w:val="20"/>
                <w:szCs w:val="20"/>
              </w:rPr>
            </w:pPr>
            <w:r>
              <w:rPr>
                <w:rFonts w:hint="eastAsia" w:ascii="宋体" w:hAnsi="宋体" w:cs="宋体"/>
                <w:color w:val="000000"/>
                <w:kern w:val="0"/>
                <w:sz w:val="20"/>
                <w:szCs w:val="20"/>
              </w:rPr>
              <w:t>金额单位：元</w:t>
            </w:r>
          </w:p>
        </w:tc>
      </w:tr>
      <w:tr>
        <w:tblPrEx>
          <w:tblCellMar>
            <w:top w:w="0" w:type="dxa"/>
            <w:left w:w="0" w:type="dxa"/>
            <w:bottom w:w="0" w:type="dxa"/>
            <w:right w:w="0" w:type="dxa"/>
          </w:tblCellMar>
        </w:tblPrEx>
        <w:trPr>
          <w:trHeight w:val="237" w:hRule="atLeast"/>
        </w:trPr>
        <w:tc>
          <w:tcPr>
            <w:tcW w:w="7062" w:type="dxa"/>
            <w:gridSpan w:val="5"/>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r>
              <w:rPr>
                <w:rFonts w:hint="eastAsia" w:ascii="宋体" w:hAnsi="宋体" w:cs="宋体"/>
                <w:color w:val="000000"/>
                <w:kern w:val="0"/>
                <w:sz w:val="20"/>
                <w:szCs w:val="20"/>
              </w:rPr>
              <w:t>编制单位：庐山市工业和信息化委员会（本级）</w:t>
            </w:r>
          </w:p>
        </w:tc>
        <w:tc>
          <w:tcPr>
            <w:tcW w:w="3720" w:type="dxa"/>
            <w:gridSpan w:val="2"/>
            <w:tcBorders>
              <w:top w:val="nil"/>
              <w:left w:val="nil"/>
              <w:bottom w:val="nil"/>
              <w:right w:val="nil"/>
            </w:tcBorders>
            <w:shd w:val="clear" w:color="auto" w:fill="auto"/>
            <w:noWrap/>
            <w:tcMar>
              <w:top w:w="12" w:type="dxa"/>
              <w:left w:w="12" w:type="dxa"/>
              <w:right w:w="12" w:type="dxa"/>
            </w:tcMar>
            <w:vAlign w:val="bottom"/>
          </w:tcPr>
          <w:p>
            <w:pPr>
              <w:jc w:val="center"/>
              <w:rPr>
                <w:rFonts w:ascii="Arial" w:hAnsi="Arial" w:cs="Arial"/>
                <w:color w:val="000000"/>
                <w:sz w:val="20"/>
                <w:szCs w:val="20"/>
              </w:rPr>
            </w:pPr>
            <w:r>
              <w:rPr>
                <w:rFonts w:hint="eastAsia" w:ascii="宋体" w:hAnsi="宋体" w:cs="宋体"/>
                <w:color w:val="000000"/>
                <w:kern w:val="0"/>
                <w:sz w:val="20"/>
                <w:szCs w:val="20"/>
              </w:rPr>
              <w:t>2019年度</w:t>
            </w:r>
          </w:p>
        </w:tc>
        <w:tc>
          <w:tcPr>
            <w:tcW w:w="156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040" w:type="dxa"/>
            <w:tcBorders>
              <w:top w:val="nil"/>
              <w:left w:val="nil"/>
              <w:bottom w:val="nil"/>
              <w:right w:val="nil"/>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356" w:type="dxa"/>
            <w:tcBorders>
              <w:top w:val="nil"/>
              <w:left w:val="nil"/>
              <w:bottom w:val="nil"/>
              <w:right w:val="nil"/>
            </w:tcBorders>
            <w:shd w:val="clear" w:color="auto" w:fill="auto"/>
            <w:noWrap/>
            <w:tcMar>
              <w:top w:w="12" w:type="dxa"/>
              <w:left w:w="12" w:type="dxa"/>
              <w:right w:w="12" w:type="dxa"/>
            </w:tcMar>
            <w:vAlign w:val="bottom"/>
          </w:tcPr>
          <w:p>
            <w:pPr>
              <w:widowControl/>
              <w:jc w:val="right"/>
              <w:textAlignment w:val="bottom"/>
              <w:rPr>
                <w:rFonts w:ascii="宋体" w:hAnsi="宋体" w:cs="宋体"/>
                <w:color w:val="000000"/>
                <w:sz w:val="20"/>
                <w:szCs w:val="20"/>
              </w:rPr>
            </w:pPr>
            <w:r>
              <w:rPr>
                <w:rFonts w:hint="eastAsia" w:ascii="宋体" w:hAnsi="宋体" w:cs="宋体"/>
                <w:color w:val="000000"/>
                <w:kern w:val="0"/>
                <w:sz w:val="20"/>
                <w:szCs w:val="20"/>
              </w:rPr>
              <w:t>公开08表</w:t>
            </w:r>
          </w:p>
        </w:tc>
      </w:tr>
      <w:tr>
        <w:tblPrEx>
          <w:tblCellMar>
            <w:top w:w="0" w:type="dxa"/>
            <w:left w:w="0" w:type="dxa"/>
            <w:bottom w:w="0" w:type="dxa"/>
            <w:right w:w="0" w:type="dxa"/>
          </w:tblCellMar>
        </w:tblPrEx>
        <w:trPr>
          <w:trHeight w:val="244" w:hRule="atLeast"/>
        </w:trPr>
        <w:tc>
          <w:tcPr>
            <w:tcW w:w="5322" w:type="dxa"/>
            <w:gridSpan w:val="4"/>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项    目</w:t>
            </w:r>
          </w:p>
        </w:tc>
        <w:tc>
          <w:tcPr>
            <w:tcW w:w="1740" w:type="dxa"/>
            <w:vMerge w:val="restart"/>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年初结转和结余</w:t>
            </w:r>
          </w:p>
        </w:tc>
        <w:tc>
          <w:tcPr>
            <w:tcW w:w="2220" w:type="dxa"/>
            <w:vMerge w:val="restart"/>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本年收入</w:t>
            </w:r>
          </w:p>
        </w:tc>
        <w:tc>
          <w:tcPr>
            <w:tcW w:w="4100" w:type="dxa"/>
            <w:gridSpan w:val="3"/>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本年支出</w:t>
            </w:r>
          </w:p>
        </w:tc>
        <w:tc>
          <w:tcPr>
            <w:tcW w:w="1356" w:type="dxa"/>
            <w:vMerge w:val="restart"/>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年末结转和结余</w:t>
            </w:r>
          </w:p>
        </w:tc>
      </w:tr>
      <w:tr>
        <w:tblPrEx>
          <w:tblCellMar>
            <w:top w:w="0" w:type="dxa"/>
            <w:left w:w="0" w:type="dxa"/>
            <w:bottom w:w="0" w:type="dxa"/>
            <w:right w:w="0" w:type="dxa"/>
          </w:tblCellMar>
        </w:tblPrEx>
        <w:trPr>
          <w:trHeight w:val="312" w:hRule="atLeast"/>
        </w:trPr>
        <w:tc>
          <w:tcPr>
            <w:tcW w:w="1522" w:type="dxa"/>
            <w:gridSpan w:val="3"/>
            <w:vMerge w:val="restart"/>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支出功能分类科目编码</w:t>
            </w:r>
          </w:p>
        </w:tc>
        <w:tc>
          <w:tcPr>
            <w:tcW w:w="3800"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科目名称</w:t>
            </w:r>
          </w:p>
        </w:tc>
        <w:tc>
          <w:tcPr>
            <w:tcW w:w="1740"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2220"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500"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小计</w:t>
            </w:r>
          </w:p>
        </w:tc>
        <w:tc>
          <w:tcPr>
            <w:tcW w:w="1560"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基本支出</w:t>
            </w:r>
          </w:p>
        </w:tc>
        <w:tc>
          <w:tcPr>
            <w:tcW w:w="1040"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项目支出</w:t>
            </w:r>
          </w:p>
        </w:tc>
        <w:tc>
          <w:tcPr>
            <w:tcW w:w="1356"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r>
      <w:tr>
        <w:tblPrEx>
          <w:tblCellMar>
            <w:top w:w="0" w:type="dxa"/>
            <w:left w:w="0" w:type="dxa"/>
            <w:bottom w:w="0" w:type="dxa"/>
            <w:right w:w="0" w:type="dxa"/>
          </w:tblCellMar>
        </w:tblPrEx>
        <w:trPr>
          <w:trHeight w:val="312" w:hRule="atLeast"/>
        </w:trPr>
        <w:tc>
          <w:tcPr>
            <w:tcW w:w="1522" w:type="dxa"/>
            <w:gridSpan w:val="3"/>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380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740"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2220"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50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56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04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356"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r>
      <w:tr>
        <w:tblPrEx>
          <w:tblCellMar>
            <w:top w:w="0" w:type="dxa"/>
            <w:left w:w="0" w:type="dxa"/>
            <w:bottom w:w="0" w:type="dxa"/>
            <w:right w:w="0" w:type="dxa"/>
          </w:tblCellMar>
        </w:tblPrEx>
        <w:trPr>
          <w:trHeight w:val="312" w:hRule="atLeast"/>
        </w:trPr>
        <w:tc>
          <w:tcPr>
            <w:tcW w:w="1522" w:type="dxa"/>
            <w:gridSpan w:val="3"/>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ascii="宋体" w:hAnsi="宋体" w:cs="宋体"/>
                <w:color w:val="000000"/>
                <w:sz w:val="22"/>
                <w:szCs w:val="22"/>
              </w:rPr>
            </w:pPr>
          </w:p>
        </w:tc>
        <w:tc>
          <w:tcPr>
            <w:tcW w:w="380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740"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2220"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50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56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04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1356"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r>
      <w:tr>
        <w:tblPrEx>
          <w:tblCellMar>
            <w:top w:w="0" w:type="dxa"/>
            <w:left w:w="0" w:type="dxa"/>
            <w:bottom w:w="0" w:type="dxa"/>
            <w:right w:w="0" w:type="dxa"/>
          </w:tblCellMar>
        </w:tblPrEx>
        <w:trPr>
          <w:trHeight w:val="244" w:hRule="atLeast"/>
        </w:trPr>
        <w:tc>
          <w:tcPr>
            <w:tcW w:w="657" w:type="dxa"/>
            <w:vMerge w:val="restart"/>
            <w:tcBorders>
              <w:top w:val="nil"/>
              <w:left w:val="single" w:color="auto" w:sz="4" w:space="0"/>
              <w:bottom w:val="single" w:color="auto"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类</w:t>
            </w:r>
          </w:p>
        </w:tc>
        <w:tc>
          <w:tcPr>
            <w:tcW w:w="445" w:type="dxa"/>
            <w:vMerge w:val="restart"/>
            <w:tcBorders>
              <w:top w:val="nil"/>
              <w:left w:val="nil"/>
              <w:bottom w:val="single" w:color="auto"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款</w:t>
            </w:r>
          </w:p>
        </w:tc>
        <w:tc>
          <w:tcPr>
            <w:tcW w:w="420" w:type="dxa"/>
            <w:vMerge w:val="restart"/>
            <w:tcBorders>
              <w:top w:val="nil"/>
              <w:left w:val="nil"/>
              <w:bottom w:val="single" w:color="auto"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项</w:t>
            </w:r>
          </w:p>
        </w:tc>
        <w:tc>
          <w:tcPr>
            <w:tcW w:w="3800" w:type="dxa"/>
            <w:tcBorders>
              <w:top w:val="nil"/>
              <w:left w:val="nil"/>
              <w:bottom w:val="single" w:color="auto"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栏次</w:t>
            </w:r>
          </w:p>
        </w:tc>
        <w:tc>
          <w:tcPr>
            <w:tcW w:w="1740" w:type="dxa"/>
            <w:tcBorders>
              <w:top w:val="nil"/>
              <w:left w:val="nil"/>
              <w:bottom w:val="single" w:color="auto"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w:t>
            </w:r>
          </w:p>
        </w:tc>
        <w:tc>
          <w:tcPr>
            <w:tcW w:w="2220" w:type="dxa"/>
            <w:tcBorders>
              <w:top w:val="nil"/>
              <w:left w:val="nil"/>
              <w:bottom w:val="single" w:color="auto"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w:t>
            </w:r>
          </w:p>
        </w:tc>
        <w:tc>
          <w:tcPr>
            <w:tcW w:w="1500" w:type="dxa"/>
            <w:tcBorders>
              <w:top w:val="nil"/>
              <w:left w:val="nil"/>
              <w:bottom w:val="single" w:color="auto"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3</w:t>
            </w:r>
          </w:p>
        </w:tc>
        <w:tc>
          <w:tcPr>
            <w:tcW w:w="1560" w:type="dxa"/>
            <w:tcBorders>
              <w:top w:val="nil"/>
              <w:left w:val="nil"/>
              <w:bottom w:val="single" w:color="auto"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4</w:t>
            </w:r>
          </w:p>
        </w:tc>
        <w:tc>
          <w:tcPr>
            <w:tcW w:w="1040" w:type="dxa"/>
            <w:tcBorders>
              <w:top w:val="nil"/>
              <w:left w:val="nil"/>
              <w:bottom w:val="single" w:color="auto"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5</w:t>
            </w:r>
          </w:p>
        </w:tc>
        <w:tc>
          <w:tcPr>
            <w:tcW w:w="1356" w:type="dxa"/>
            <w:tcBorders>
              <w:top w:val="nil"/>
              <w:left w:val="nil"/>
              <w:bottom w:val="single" w:color="auto"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6</w:t>
            </w:r>
          </w:p>
        </w:tc>
      </w:tr>
      <w:tr>
        <w:tblPrEx>
          <w:tblCellMar>
            <w:top w:w="0" w:type="dxa"/>
            <w:left w:w="0" w:type="dxa"/>
            <w:bottom w:w="0" w:type="dxa"/>
            <w:right w:w="0" w:type="dxa"/>
          </w:tblCellMar>
        </w:tblPrEx>
        <w:trPr>
          <w:trHeight w:val="244" w:hRule="atLeast"/>
        </w:trPr>
        <w:tc>
          <w:tcPr>
            <w:tcW w:w="657" w:type="dxa"/>
            <w:vMerge w:val="continue"/>
            <w:tcBorders>
              <w:top w:val="single" w:color="auto" w:sz="4" w:space="0"/>
              <w:left w:val="single" w:color="auto"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445" w:type="dxa"/>
            <w:vMerge w:val="continue"/>
            <w:tcBorders>
              <w:top w:val="single" w:color="auto"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420" w:type="dxa"/>
            <w:vMerge w:val="continue"/>
            <w:tcBorders>
              <w:top w:val="single" w:color="auto"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ascii="宋体" w:hAnsi="宋体" w:cs="宋体"/>
                <w:color w:val="000000"/>
                <w:sz w:val="22"/>
                <w:szCs w:val="22"/>
              </w:rPr>
            </w:pPr>
          </w:p>
        </w:tc>
        <w:tc>
          <w:tcPr>
            <w:tcW w:w="3800" w:type="dxa"/>
            <w:tcBorders>
              <w:top w:val="single" w:color="auto"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合计</w:t>
            </w:r>
          </w:p>
        </w:tc>
        <w:tc>
          <w:tcPr>
            <w:tcW w:w="1740" w:type="dxa"/>
            <w:tcBorders>
              <w:top w:val="single" w:color="auto"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2220" w:type="dxa"/>
            <w:tcBorders>
              <w:top w:val="single" w:color="auto"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700,000.00</w:t>
            </w:r>
          </w:p>
        </w:tc>
        <w:tc>
          <w:tcPr>
            <w:tcW w:w="1500" w:type="dxa"/>
            <w:tcBorders>
              <w:top w:val="single" w:color="auto"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153,201.32</w:t>
            </w:r>
          </w:p>
        </w:tc>
        <w:tc>
          <w:tcPr>
            <w:tcW w:w="1560" w:type="dxa"/>
            <w:tcBorders>
              <w:top w:val="single" w:color="auto"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153,201.32</w:t>
            </w:r>
          </w:p>
        </w:tc>
        <w:tc>
          <w:tcPr>
            <w:tcW w:w="1040" w:type="dxa"/>
            <w:tcBorders>
              <w:top w:val="single" w:color="auto"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56" w:type="dxa"/>
            <w:tcBorders>
              <w:top w:val="single" w:color="auto" w:sz="4" w:space="0"/>
              <w:left w:val="nil"/>
              <w:bottom w:val="single" w:color="000000" w:sz="4" w:space="0"/>
              <w:right w:val="single" w:color="auto"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546,798.68</w:t>
            </w:r>
          </w:p>
        </w:tc>
      </w:tr>
      <w:tr>
        <w:tblPrEx>
          <w:tblCellMar>
            <w:top w:w="0" w:type="dxa"/>
            <w:left w:w="0" w:type="dxa"/>
            <w:bottom w:w="0" w:type="dxa"/>
            <w:right w:w="0" w:type="dxa"/>
          </w:tblCellMar>
        </w:tblPrEx>
        <w:trPr>
          <w:trHeight w:val="244" w:hRule="atLeast"/>
        </w:trPr>
        <w:tc>
          <w:tcPr>
            <w:tcW w:w="1522" w:type="dxa"/>
            <w:gridSpan w:val="3"/>
            <w:tcBorders>
              <w:top w:val="nil"/>
              <w:left w:val="single" w:color="auto"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229</w:t>
            </w: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其他支出</w:t>
            </w:r>
          </w:p>
        </w:tc>
        <w:tc>
          <w:tcPr>
            <w:tcW w:w="1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22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700,000.00</w:t>
            </w:r>
          </w:p>
        </w:tc>
        <w:tc>
          <w:tcPr>
            <w:tcW w:w="1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153,201.32</w:t>
            </w:r>
          </w:p>
        </w:tc>
        <w:tc>
          <w:tcPr>
            <w:tcW w:w="1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153,201.32</w:t>
            </w:r>
          </w:p>
        </w:tc>
        <w:tc>
          <w:tcPr>
            <w:tcW w:w="10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56" w:type="dxa"/>
            <w:tcBorders>
              <w:top w:val="nil"/>
              <w:left w:val="nil"/>
              <w:bottom w:val="single" w:color="000000" w:sz="4" w:space="0"/>
              <w:right w:val="single" w:color="auto"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546,798.68</w:t>
            </w:r>
          </w:p>
        </w:tc>
      </w:tr>
      <w:tr>
        <w:tblPrEx>
          <w:tblCellMar>
            <w:top w:w="0" w:type="dxa"/>
            <w:left w:w="0" w:type="dxa"/>
            <w:bottom w:w="0" w:type="dxa"/>
            <w:right w:w="0" w:type="dxa"/>
          </w:tblCellMar>
        </w:tblPrEx>
        <w:trPr>
          <w:trHeight w:val="472" w:hRule="atLeast"/>
        </w:trPr>
        <w:tc>
          <w:tcPr>
            <w:tcW w:w="1522" w:type="dxa"/>
            <w:gridSpan w:val="3"/>
            <w:tcBorders>
              <w:top w:val="nil"/>
              <w:left w:val="single" w:color="auto" w:sz="4" w:space="0"/>
              <w:bottom w:val="single" w:color="auto"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22904</w:t>
            </w:r>
          </w:p>
        </w:tc>
        <w:tc>
          <w:tcPr>
            <w:tcW w:w="3800" w:type="dxa"/>
            <w:tcBorders>
              <w:top w:val="nil"/>
              <w:left w:val="nil"/>
              <w:bottom w:val="single" w:color="auto"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其他政府性基金及对应专项债务收入安排的支出</w:t>
            </w:r>
          </w:p>
        </w:tc>
        <w:tc>
          <w:tcPr>
            <w:tcW w:w="1740" w:type="dxa"/>
            <w:tcBorders>
              <w:top w:val="nil"/>
              <w:left w:val="nil"/>
              <w:bottom w:val="single" w:color="auto"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2220" w:type="dxa"/>
            <w:tcBorders>
              <w:top w:val="nil"/>
              <w:left w:val="nil"/>
              <w:bottom w:val="single" w:color="auto"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700,000.00</w:t>
            </w:r>
          </w:p>
        </w:tc>
        <w:tc>
          <w:tcPr>
            <w:tcW w:w="1500" w:type="dxa"/>
            <w:tcBorders>
              <w:top w:val="nil"/>
              <w:left w:val="nil"/>
              <w:bottom w:val="single" w:color="auto"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153,201.32</w:t>
            </w:r>
          </w:p>
        </w:tc>
        <w:tc>
          <w:tcPr>
            <w:tcW w:w="1560" w:type="dxa"/>
            <w:tcBorders>
              <w:top w:val="nil"/>
              <w:left w:val="nil"/>
              <w:bottom w:val="single" w:color="auto"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153,201.32</w:t>
            </w:r>
          </w:p>
        </w:tc>
        <w:tc>
          <w:tcPr>
            <w:tcW w:w="1040" w:type="dxa"/>
            <w:tcBorders>
              <w:top w:val="nil"/>
              <w:left w:val="nil"/>
              <w:bottom w:val="single" w:color="auto"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56" w:type="dxa"/>
            <w:tcBorders>
              <w:top w:val="nil"/>
              <w:left w:val="nil"/>
              <w:bottom w:val="single" w:color="auto" w:sz="4" w:space="0"/>
              <w:right w:val="single" w:color="auto"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546,798.68</w:t>
            </w:r>
          </w:p>
        </w:tc>
      </w:tr>
      <w:tr>
        <w:tblPrEx>
          <w:tblCellMar>
            <w:top w:w="0" w:type="dxa"/>
            <w:left w:w="0" w:type="dxa"/>
            <w:bottom w:w="0" w:type="dxa"/>
            <w:right w:w="0" w:type="dxa"/>
          </w:tblCellMar>
        </w:tblPrEx>
        <w:trPr>
          <w:trHeight w:val="244" w:hRule="atLeast"/>
        </w:trPr>
        <w:tc>
          <w:tcPr>
            <w:tcW w:w="1522" w:type="dxa"/>
            <w:gridSpan w:val="3"/>
            <w:tcBorders>
              <w:top w:val="single" w:color="auto"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2290401</w:t>
            </w:r>
          </w:p>
        </w:tc>
        <w:tc>
          <w:tcPr>
            <w:tcW w:w="3800" w:type="dxa"/>
            <w:tcBorders>
              <w:top w:val="single" w:color="auto"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其他政府性基金安排的支出</w:t>
            </w:r>
          </w:p>
        </w:tc>
        <w:tc>
          <w:tcPr>
            <w:tcW w:w="1740" w:type="dxa"/>
            <w:tcBorders>
              <w:top w:val="single" w:color="auto"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2220" w:type="dxa"/>
            <w:tcBorders>
              <w:top w:val="single" w:color="auto"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700,000.00</w:t>
            </w:r>
          </w:p>
        </w:tc>
        <w:tc>
          <w:tcPr>
            <w:tcW w:w="1500" w:type="dxa"/>
            <w:tcBorders>
              <w:top w:val="single" w:color="auto"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153,201.32</w:t>
            </w:r>
          </w:p>
        </w:tc>
        <w:tc>
          <w:tcPr>
            <w:tcW w:w="1560" w:type="dxa"/>
            <w:tcBorders>
              <w:top w:val="single" w:color="auto"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153,201.32</w:t>
            </w:r>
          </w:p>
        </w:tc>
        <w:tc>
          <w:tcPr>
            <w:tcW w:w="1040" w:type="dxa"/>
            <w:tcBorders>
              <w:top w:val="single" w:color="auto"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0.00</w:t>
            </w:r>
          </w:p>
        </w:tc>
        <w:tc>
          <w:tcPr>
            <w:tcW w:w="1356" w:type="dxa"/>
            <w:tcBorders>
              <w:top w:val="single" w:color="auto"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rPr>
              <w:t>546,798.68</w:t>
            </w:r>
          </w:p>
        </w:tc>
      </w:tr>
      <w:tr>
        <w:tblPrEx>
          <w:tblCellMar>
            <w:top w:w="0" w:type="dxa"/>
            <w:left w:w="0" w:type="dxa"/>
            <w:bottom w:w="0" w:type="dxa"/>
            <w:right w:w="0" w:type="dxa"/>
          </w:tblCellMar>
        </w:tblPrEx>
        <w:trPr>
          <w:trHeight w:val="244" w:hRule="atLeast"/>
        </w:trPr>
        <w:tc>
          <w:tcPr>
            <w:tcW w:w="15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1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22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0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3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r>
      <w:tr>
        <w:tblPrEx>
          <w:tblCellMar>
            <w:top w:w="0" w:type="dxa"/>
            <w:left w:w="0" w:type="dxa"/>
            <w:bottom w:w="0" w:type="dxa"/>
            <w:right w:w="0" w:type="dxa"/>
          </w:tblCellMar>
        </w:tblPrEx>
        <w:trPr>
          <w:trHeight w:val="244" w:hRule="atLeast"/>
        </w:trPr>
        <w:tc>
          <w:tcPr>
            <w:tcW w:w="15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1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22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0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3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r>
      <w:tr>
        <w:tblPrEx>
          <w:tblCellMar>
            <w:top w:w="0" w:type="dxa"/>
            <w:left w:w="0" w:type="dxa"/>
            <w:bottom w:w="0" w:type="dxa"/>
            <w:right w:w="0" w:type="dxa"/>
          </w:tblCellMar>
        </w:tblPrEx>
        <w:trPr>
          <w:trHeight w:val="244" w:hRule="atLeast"/>
        </w:trPr>
        <w:tc>
          <w:tcPr>
            <w:tcW w:w="15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1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22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0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3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r>
      <w:tr>
        <w:tblPrEx>
          <w:tblCellMar>
            <w:top w:w="0" w:type="dxa"/>
            <w:left w:w="0" w:type="dxa"/>
            <w:bottom w:w="0" w:type="dxa"/>
            <w:right w:w="0" w:type="dxa"/>
          </w:tblCellMar>
        </w:tblPrEx>
        <w:trPr>
          <w:trHeight w:val="244" w:hRule="atLeast"/>
        </w:trPr>
        <w:tc>
          <w:tcPr>
            <w:tcW w:w="15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2"/>
                <w:szCs w:val="22"/>
              </w:rPr>
            </w:pPr>
          </w:p>
        </w:tc>
        <w:tc>
          <w:tcPr>
            <w:tcW w:w="1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22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0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3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r>
      <w:tr>
        <w:tblPrEx>
          <w:tblCellMar>
            <w:top w:w="0" w:type="dxa"/>
            <w:left w:w="0" w:type="dxa"/>
            <w:bottom w:w="0" w:type="dxa"/>
            <w:right w:w="0" w:type="dxa"/>
          </w:tblCellMar>
        </w:tblPrEx>
        <w:trPr>
          <w:trHeight w:val="244" w:hRule="atLeast"/>
        </w:trPr>
        <w:tc>
          <w:tcPr>
            <w:tcW w:w="15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3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22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0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c>
          <w:tcPr>
            <w:tcW w:w="13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ascii="宋体" w:hAnsi="宋体" w:cs="宋体"/>
                <w:color w:val="000000"/>
                <w:sz w:val="22"/>
                <w:szCs w:val="22"/>
              </w:rPr>
            </w:pPr>
          </w:p>
        </w:tc>
      </w:tr>
      <w:tr>
        <w:tblPrEx>
          <w:tblCellMar>
            <w:top w:w="0" w:type="dxa"/>
            <w:left w:w="0" w:type="dxa"/>
            <w:bottom w:w="0" w:type="dxa"/>
            <w:right w:w="0" w:type="dxa"/>
          </w:tblCellMar>
        </w:tblPrEx>
        <w:trPr>
          <w:trHeight w:val="244" w:hRule="atLeast"/>
        </w:trPr>
        <w:tc>
          <w:tcPr>
            <w:tcW w:w="14738" w:type="dxa"/>
            <w:gridSpan w:val="10"/>
            <w:tcBorders>
              <w:top w:val="nil"/>
              <w:left w:val="single" w:color="000000" w:sz="4" w:space="0"/>
              <w:bottom w:val="nil"/>
              <w:right w:val="single" w:color="000000" w:sz="4" w:space="0"/>
            </w:tcBorders>
            <w:shd w:val="clear" w:color="auto" w:fill="auto"/>
            <w:noWrap/>
            <w:tcMar>
              <w:top w:w="12" w:type="dxa"/>
              <w:left w:w="12" w:type="dxa"/>
              <w:right w:w="12" w:type="dxa"/>
            </w:tcMar>
            <w:vAlign w:val="center"/>
          </w:tcPr>
          <w:p>
            <w:pPr>
              <w:widowControl/>
              <w:textAlignment w:val="center"/>
              <w:rPr>
                <w:rFonts w:ascii="宋体" w:hAnsi="宋体" w:cs="宋体"/>
                <w:color w:val="000000"/>
                <w:sz w:val="20"/>
                <w:szCs w:val="20"/>
              </w:rPr>
            </w:pPr>
            <w:r>
              <w:rPr>
                <w:rFonts w:hint="eastAsia" w:ascii="宋体" w:hAnsi="宋体" w:cs="宋体"/>
                <w:color w:val="000000"/>
                <w:kern w:val="0"/>
                <w:sz w:val="20"/>
                <w:szCs w:val="20"/>
              </w:rPr>
              <w:t>注：本表反映部门本年度政府性基金预算财政拨款收入、支出及结转和结余情况。</w:t>
            </w:r>
          </w:p>
        </w:tc>
      </w:tr>
      <w:tr>
        <w:tblPrEx>
          <w:tblCellMar>
            <w:top w:w="0" w:type="dxa"/>
            <w:left w:w="0" w:type="dxa"/>
            <w:bottom w:w="0" w:type="dxa"/>
            <w:right w:w="0" w:type="dxa"/>
          </w:tblCellMar>
        </w:tblPrEx>
        <w:trPr>
          <w:trHeight w:val="244" w:hRule="atLeast"/>
        </w:trPr>
        <w:tc>
          <w:tcPr>
            <w:tcW w:w="14738" w:type="dxa"/>
            <w:gridSpan w:val="10"/>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kern w:val="0"/>
                <w:sz w:val="20"/>
                <w:szCs w:val="20"/>
              </w:rPr>
            </w:pPr>
          </w:p>
        </w:tc>
      </w:tr>
    </w:tbl>
    <w:p>
      <w:pPr>
        <w:spacing w:line="580" w:lineRule="exact"/>
        <w:rPr>
          <w:rFonts w:ascii="仿宋_GB2312" w:hAnsi="仿宋" w:eastAsia="仿宋_GB2312" w:cs="仿宋_GB2312"/>
          <w:b/>
          <w:bCs/>
          <w:kern w:val="1"/>
          <w:sz w:val="36"/>
          <w:szCs w:val="36"/>
        </w:rPr>
      </w:pPr>
    </w:p>
    <w:tbl>
      <w:tblPr>
        <w:tblStyle w:val="5"/>
        <w:tblW w:w="13580" w:type="dxa"/>
        <w:tblInd w:w="83" w:type="dxa"/>
        <w:tblLayout w:type="autofit"/>
        <w:tblCellMar>
          <w:top w:w="0" w:type="dxa"/>
          <w:left w:w="108" w:type="dxa"/>
          <w:bottom w:w="0" w:type="dxa"/>
          <w:right w:w="108" w:type="dxa"/>
        </w:tblCellMar>
      </w:tblPr>
      <w:tblGrid>
        <w:gridCol w:w="8939"/>
        <w:gridCol w:w="1547"/>
        <w:gridCol w:w="3094"/>
      </w:tblGrid>
      <w:tr>
        <w:tblPrEx>
          <w:tblCellMar>
            <w:top w:w="0" w:type="dxa"/>
            <w:left w:w="108" w:type="dxa"/>
            <w:bottom w:w="0" w:type="dxa"/>
            <w:right w:w="108" w:type="dxa"/>
          </w:tblCellMar>
        </w:tblPrEx>
        <w:trPr>
          <w:trHeight w:val="793" w:hRule="atLeast"/>
        </w:trPr>
        <w:tc>
          <w:tcPr>
            <w:tcW w:w="13580" w:type="dxa"/>
            <w:gridSpan w:val="3"/>
            <w:tcBorders>
              <w:top w:val="nil"/>
              <w:left w:val="nil"/>
              <w:bottom w:val="nil"/>
            </w:tcBorders>
            <w:shd w:val="clear" w:color="auto" w:fill="auto"/>
            <w:noWrap/>
            <w:vAlign w:val="bottom"/>
          </w:tcPr>
          <w:p>
            <w:pPr>
              <w:widowControl/>
              <w:jc w:val="center"/>
              <w:rPr>
                <w:rFonts w:ascii="Arial" w:hAnsi="Arial" w:cs="Arial"/>
                <w:color w:val="000000"/>
                <w:kern w:val="0"/>
                <w:sz w:val="20"/>
                <w:szCs w:val="20"/>
              </w:rPr>
            </w:pPr>
            <w:r>
              <w:rPr>
                <w:rFonts w:hint="eastAsia" w:ascii="宋体" w:hAnsi="宋体" w:cs="Arial"/>
                <w:color w:val="000000"/>
                <w:kern w:val="0"/>
                <w:sz w:val="44"/>
                <w:szCs w:val="44"/>
              </w:rPr>
              <w:t>国有资产占用情况表</w:t>
            </w:r>
          </w:p>
        </w:tc>
      </w:tr>
      <w:tr>
        <w:tblPrEx>
          <w:tblCellMar>
            <w:top w:w="0" w:type="dxa"/>
            <w:left w:w="108" w:type="dxa"/>
            <w:bottom w:w="0" w:type="dxa"/>
            <w:right w:w="108" w:type="dxa"/>
          </w:tblCellMar>
        </w:tblPrEx>
        <w:trPr>
          <w:trHeight w:val="374" w:hRule="atLeast"/>
        </w:trPr>
        <w:tc>
          <w:tcPr>
            <w:tcW w:w="8939"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547"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3094"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单位：台、辆、套</w:t>
            </w:r>
          </w:p>
        </w:tc>
      </w:tr>
      <w:tr>
        <w:tblPrEx>
          <w:tblCellMar>
            <w:top w:w="0" w:type="dxa"/>
            <w:left w:w="108" w:type="dxa"/>
            <w:bottom w:w="0" w:type="dxa"/>
            <w:right w:w="108" w:type="dxa"/>
          </w:tblCellMar>
        </w:tblPrEx>
        <w:trPr>
          <w:trHeight w:val="374" w:hRule="atLeast"/>
        </w:trPr>
        <w:tc>
          <w:tcPr>
            <w:tcW w:w="8939" w:type="dxa"/>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编制单位：庐山市工业和信息化委员会（本级）</w:t>
            </w:r>
          </w:p>
        </w:tc>
        <w:tc>
          <w:tcPr>
            <w:tcW w:w="1547" w:type="dxa"/>
            <w:tcBorders>
              <w:top w:val="nil"/>
              <w:left w:val="nil"/>
              <w:bottom w:val="nil"/>
              <w:right w:val="nil"/>
            </w:tcBorders>
            <w:shd w:val="clear" w:color="auto" w:fill="auto"/>
            <w:noWrap/>
            <w:vAlign w:val="bottom"/>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2019年度</w:t>
            </w:r>
          </w:p>
        </w:tc>
        <w:tc>
          <w:tcPr>
            <w:tcW w:w="3094"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公开09表</w:t>
            </w:r>
          </w:p>
        </w:tc>
      </w:tr>
      <w:tr>
        <w:tblPrEx>
          <w:tblCellMar>
            <w:top w:w="0" w:type="dxa"/>
            <w:left w:w="108" w:type="dxa"/>
            <w:bottom w:w="0" w:type="dxa"/>
            <w:right w:w="108" w:type="dxa"/>
          </w:tblCellMar>
        </w:tblPrEx>
        <w:trPr>
          <w:trHeight w:val="452" w:hRule="atLeast"/>
        </w:trPr>
        <w:tc>
          <w:tcPr>
            <w:tcW w:w="8939"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项  目</w:t>
            </w:r>
          </w:p>
        </w:tc>
        <w:tc>
          <w:tcPr>
            <w:tcW w:w="1547" w:type="dxa"/>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3094" w:type="dxa"/>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决算数</w:t>
            </w:r>
          </w:p>
        </w:tc>
      </w:tr>
      <w:tr>
        <w:tblPrEx>
          <w:tblCellMar>
            <w:top w:w="0" w:type="dxa"/>
            <w:left w:w="108" w:type="dxa"/>
            <w:bottom w:w="0" w:type="dxa"/>
            <w:right w:w="108" w:type="dxa"/>
          </w:tblCellMar>
        </w:tblPrEx>
        <w:trPr>
          <w:trHeight w:val="452" w:hRule="atLeast"/>
        </w:trPr>
        <w:tc>
          <w:tcPr>
            <w:tcW w:w="893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一、车辆数合计(台、辆)</w:t>
            </w:r>
          </w:p>
        </w:tc>
        <w:tc>
          <w:tcPr>
            <w:tcW w:w="154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30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52" w:hRule="atLeast"/>
        </w:trPr>
        <w:tc>
          <w:tcPr>
            <w:tcW w:w="893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1.副部（省）级及以上领导用车</w:t>
            </w:r>
          </w:p>
        </w:tc>
        <w:tc>
          <w:tcPr>
            <w:tcW w:w="154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30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52" w:hRule="atLeast"/>
        </w:trPr>
        <w:tc>
          <w:tcPr>
            <w:tcW w:w="893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2.主要领导干部用车</w:t>
            </w:r>
          </w:p>
        </w:tc>
        <w:tc>
          <w:tcPr>
            <w:tcW w:w="154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30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52" w:hRule="atLeast"/>
        </w:trPr>
        <w:tc>
          <w:tcPr>
            <w:tcW w:w="893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3.机要通信用车</w:t>
            </w:r>
          </w:p>
        </w:tc>
        <w:tc>
          <w:tcPr>
            <w:tcW w:w="154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30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52" w:hRule="atLeast"/>
        </w:trPr>
        <w:tc>
          <w:tcPr>
            <w:tcW w:w="893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4.应急保障用车</w:t>
            </w:r>
          </w:p>
        </w:tc>
        <w:tc>
          <w:tcPr>
            <w:tcW w:w="154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w:t>
            </w:r>
          </w:p>
        </w:tc>
        <w:tc>
          <w:tcPr>
            <w:tcW w:w="30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52" w:hRule="atLeast"/>
        </w:trPr>
        <w:tc>
          <w:tcPr>
            <w:tcW w:w="893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5.执法执勤用车</w:t>
            </w:r>
          </w:p>
        </w:tc>
        <w:tc>
          <w:tcPr>
            <w:tcW w:w="154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w:t>
            </w:r>
          </w:p>
        </w:tc>
        <w:tc>
          <w:tcPr>
            <w:tcW w:w="30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52" w:hRule="atLeast"/>
        </w:trPr>
        <w:tc>
          <w:tcPr>
            <w:tcW w:w="893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6.特种专业技术用车</w:t>
            </w:r>
          </w:p>
        </w:tc>
        <w:tc>
          <w:tcPr>
            <w:tcW w:w="154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7</w:t>
            </w:r>
          </w:p>
        </w:tc>
        <w:tc>
          <w:tcPr>
            <w:tcW w:w="30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52" w:hRule="atLeast"/>
        </w:trPr>
        <w:tc>
          <w:tcPr>
            <w:tcW w:w="893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7.离退休干部用车</w:t>
            </w:r>
          </w:p>
        </w:tc>
        <w:tc>
          <w:tcPr>
            <w:tcW w:w="154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8</w:t>
            </w:r>
          </w:p>
        </w:tc>
        <w:tc>
          <w:tcPr>
            <w:tcW w:w="30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52" w:hRule="atLeast"/>
        </w:trPr>
        <w:tc>
          <w:tcPr>
            <w:tcW w:w="893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8.其他用车</w:t>
            </w:r>
          </w:p>
        </w:tc>
        <w:tc>
          <w:tcPr>
            <w:tcW w:w="154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9</w:t>
            </w:r>
          </w:p>
        </w:tc>
        <w:tc>
          <w:tcPr>
            <w:tcW w:w="30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52" w:hRule="atLeast"/>
        </w:trPr>
        <w:tc>
          <w:tcPr>
            <w:tcW w:w="893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二、单价50万元（含）以上通用设备（台，套）</w:t>
            </w:r>
          </w:p>
        </w:tc>
        <w:tc>
          <w:tcPr>
            <w:tcW w:w="154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10</w:t>
            </w:r>
          </w:p>
        </w:tc>
        <w:tc>
          <w:tcPr>
            <w:tcW w:w="30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52" w:hRule="atLeast"/>
        </w:trPr>
        <w:tc>
          <w:tcPr>
            <w:tcW w:w="893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三、单价100万元（含）以上专用设备（台，套）</w:t>
            </w:r>
          </w:p>
        </w:tc>
        <w:tc>
          <w:tcPr>
            <w:tcW w:w="154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11</w:t>
            </w:r>
          </w:p>
        </w:tc>
        <w:tc>
          <w:tcPr>
            <w:tcW w:w="30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bl>
    <w:p>
      <w:pPr>
        <w:widowControl/>
        <w:jc w:val="left"/>
        <w:rPr>
          <w:rFonts w:ascii="仿宋_GB2312" w:hAnsi="仿宋" w:eastAsia="仿宋_GB2312" w:cs="仿宋_GB2312"/>
          <w:b/>
          <w:bCs/>
          <w:kern w:val="1"/>
          <w:sz w:val="36"/>
          <w:szCs w:val="36"/>
        </w:rPr>
      </w:pPr>
      <w:r>
        <w:rPr>
          <w:rFonts w:ascii="仿宋_GB2312" w:hAnsi="仿宋" w:eastAsia="仿宋_GB2312" w:cs="仿宋_GB2312"/>
          <w:b/>
          <w:bCs/>
          <w:kern w:val="1"/>
          <w:sz w:val="36"/>
          <w:szCs w:val="36"/>
        </w:rPr>
        <w:br w:type="page"/>
      </w:r>
    </w:p>
    <w:tbl>
      <w:tblPr>
        <w:tblStyle w:val="5"/>
        <w:tblpPr w:leftFromText="180" w:rightFromText="180" w:horzAnchor="margin" w:tblpY="-1792"/>
        <w:tblW w:w="14618" w:type="dxa"/>
        <w:tblInd w:w="0" w:type="dxa"/>
        <w:tblLayout w:type="autofit"/>
        <w:tblCellMar>
          <w:top w:w="0" w:type="dxa"/>
          <w:left w:w="108" w:type="dxa"/>
          <w:bottom w:w="0" w:type="dxa"/>
          <w:right w:w="108" w:type="dxa"/>
        </w:tblCellMar>
      </w:tblPr>
      <w:tblGrid>
        <w:gridCol w:w="3577"/>
        <w:gridCol w:w="516"/>
        <w:gridCol w:w="1721"/>
        <w:gridCol w:w="3577"/>
        <w:gridCol w:w="589"/>
        <w:gridCol w:w="3445"/>
        <w:gridCol w:w="60"/>
        <w:gridCol w:w="225"/>
        <w:gridCol w:w="908"/>
      </w:tblGrid>
      <w:tr>
        <w:tblPrEx>
          <w:tblCellMar>
            <w:top w:w="0" w:type="dxa"/>
            <w:left w:w="108" w:type="dxa"/>
            <w:bottom w:w="0" w:type="dxa"/>
            <w:right w:w="108" w:type="dxa"/>
          </w:tblCellMar>
        </w:tblPrEx>
        <w:trPr>
          <w:gridAfter w:val="2"/>
          <w:wAfter w:w="1133" w:type="dxa"/>
          <w:trHeight w:val="90" w:hRule="atLeast"/>
        </w:trPr>
        <w:tc>
          <w:tcPr>
            <w:tcW w:w="13485" w:type="dxa"/>
            <w:gridSpan w:val="7"/>
            <w:tcBorders>
              <w:top w:val="nil"/>
              <w:left w:val="nil"/>
              <w:bottom w:val="nil"/>
              <w:right w:val="nil"/>
            </w:tcBorders>
            <w:shd w:val="clear" w:color="auto" w:fill="auto"/>
            <w:noWrap/>
            <w:vAlign w:val="bottom"/>
          </w:tcPr>
          <w:p>
            <w:pPr>
              <w:widowControl/>
              <w:jc w:val="left"/>
              <w:rPr>
                <w:rFonts w:hint="eastAsia" w:ascii="Arial" w:hAnsi="Arial" w:cs="Arial"/>
                <w:color w:val="000000"/>
                <w:kern w:val="0"/>
                <w:sz w:val="20"/>
                <w:szCs w:val="20"/>
              </w:rPr>
            </w:pPr>
          </w:p>
          <w:p>
            <w:pPr>
              <w:widowControl/>
              <w:jc w:val="left"/>
              <w:rPr>
                <w:rFonts w:hint="eastAsia" w:ascii="Arial" w:hAnsi="Arial" w:cs="Arial"/>
                <w:color w:val="000000"/>
                <w:kern w:val="0"/>
                <w:sz w:val="20"/>
                <w:szCs w:val="20"/>
              </w:rPr>
            </w:pPr>
          </w:p>
          <w:p>
            <w:pPr>
              <w:widowControl/>
              <w:jc w:val="left"/>
              <w:rPr>
                <w:rFonts w:hint="default" w:ascii="Arial" w:hAnsi="Arial" w:eastAsia="宋体" w:cs="Arial"/>
                <w:color w:val="000000"/>
                <w:kern w:val="0"/>
                <w:sz w:val="20"/>
                <w:szCs w:val="20"/>
                <w:lang w:val="en-US" w:eastAsia="zh-CN"/>
              </w:rPr>
            </w:pPr>
            <w:r>
              <w:rPr>
                <w:rFonts w:hint="eastAsia" w:ascii="仿宋_GB2312" w:hAnsi="仿宋" w:eastAsia="仿宋_GB2312" w:cs="仿宋_GB2312"/>
                <w:b/>
                <w:bCs/>
                <w:kern w:val="1"/>
                <w:sz w:val="36"/>
                <w:szCs w:val="36"/>
                <w:lang w:val="en-US" w:eastAsia="zh-CN"/>
              </w:rPr>
              <w:t>B、轻化建材办：</w:t>
            </w:r>
          </w:p>
          <w:p>
            <w:pPr>
              <w:widowControl/>
              <w:jc w:val="center"/>
              <w:rPr>
                <w:rFonts w:ascii="Arial" w:hAnsi="Arial" w:cs="Arial"/>
                <w:color w:val="000000"/>
                <w:kern w:val="0"/>
                <w:sz w:val="20"/>
                <w:szCs w:val="20"/>
              </w:rPr>
            </w:pPr>
            <w:r>
              <w:rPr>
                <w:rFonts w:hint="eastAsia" w:ascii="宋体" w:hAnsi="宋体" w:cs="Arial"/>
                <w:color w:val="000000"/>
                <w:kern w:val="0"/>
                <w:sz w:val="44"/>
                <w:szCs w:val="44"/>
              </w:rPr>
              <w:t>收入支出决算总表</w:t>
            </w:r>
          </w:p>
        </w:tc>
      </w:tr>
      <w:tr>
        <w:tblPrEx>
          <w:tblCellMar>
            <w:top w:w="0" w:type="dxa"/>
            <w:left w:w="108" w:type="dxa"/>
            <w:bottom w:w="0" w:type="dxa"/>
            <w:right w:w="108" w:type="dxa"/>
          </w:tblCellMar>
        </w:tblPrEx>
        <w:trPr>
          <w:gridAfter w:val="2"/>
          <w:wAfter w:w="1133" w:type="dxa"/>
          <w:trHeight w:val="90" w:hRule="atLeast"/>
        </w:trPr>
        <w:tc>
          <w:tcPr>
            <w:tcW w:w="3577"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516"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721"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3577"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589"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3505" w:type="dxa"/>
            <w:gridSpan w:val="2"/>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金额单位：元</w:t>
            </w:r>
          </w:p>
        </w:tc>
      </w:tr>
      <w:tr>
        <w:tblPrEx>
          <w:tblCellMar>
            <w:top w:w="0" w:type="dxa"/>
            <w:left w:w="108" w:type="dxa"/>
            <w:bottom w:w="0" w:type="dxa"/>
            <w:right w:w="108" w:type="dxa"/>
          </w:tblCellMar>
        </w:tblPrEx>
        <w:trPr>
          <w:gridAfter w:val="3"/>
          <w:wAfter w:w="1193" w:type="dxa"/>
          <w:trHeight w:val="90" w:hRule="atLeast"/>
        </w:trPr>
        <w:tc>
          <w:tcPr>
            <w:tcW w:w="9980" w:type="dxa"/>
            <w:gridSpan w:val="5"/>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编制单位：庐山市轻化建材行业管理办公室</w:t>
            </w:r>
          </w:p>
          <w:p>
            <w:pPr>
              <w:widowControl/>
              <w:jc w:val="center"/>
              <w:rPr>
                <w:rFonts w:ascii="宋体" w:hAnsi="宋体" w:cs="Arial"/>
                <w:color w:val="000000"/>
                <w:kern w:val="0"/>
                <w:sz w:val="20"/>
                <w:szCs w:val="20"/>
              </w:rPr>
            </w:pPr>
            <w:r>
              <w:rPr>
                <w:rFonts w:hint="eastAsia" w:ascii="宋体" w:hAnsi="宋体" w:cs="Arial"/>
                <w:color w:val="000000"/>
                <w:kern w:val="0"/>
                <w:sz w:val="20"/>
                <w:szCs w:val="20"/>
              </w:rPr>
              <w:t xml:space="preserve">               2019年度</w:t>
            </w:r>
          </w:p>
        </w:tc>
        <w:tc>
          <w:tcPr>
            <w:tcW w:w="3445" w:type="dxa"/>
            <w:tcBorders>
              <w:top w:val="nil"/>
              <w:left w:val="nil"/>
              <w:bottom w:val="nil"/>
              <w:right w:val="nil"/>
            </w:tcBorders>
            <w:shd w:val="clear" w:color="auto" w:fill="auto"/>
            <w:noWrap/>
            <w:vAlign w:val="bottom"/>
          </w:tcPr>
          <w:p>
            <w:pPr>
              <w:widowControl/>
              <w:ind w:right="400" w:firstLine="1200" w:firstLineChars="600"/>
              <w:rPr>
                <w:rFonts w:ascii="宋体" w:hAnsi="宋体" w:cs="Arial"/>
                <w:color w:val="000000"/>
                <w:kern w:val="0"/>
                <w:sz w:val="20"/>
                <w:szCs w:val="20"/>
              </w:rPr>
            </w:pPr>
            <w:r>
              <w:rPr>
                <w:rFonts w:hint="eastAsia" w:ascii="宋体" w:hAnsi="宋体" w:cs="Arial"/>
                <w:color w:val="000000"/>
                <w:kern w:val="0"/>
                <w:sz w:val="20"/>
                <w:szCs w:val="20"/>
              </w:rPr>
              <w:t>公开01表</w:t>
            </w:r>
          </w:p>
        </w:tc>
      </w:tr>
      <w:tr>
        <w:tblPrEx>
          <w:tblCellMar>
            <w:top w:w="0" w:type="dxa"/>
            <w:left w:w="108" w:type="dxa"/>
            <w:bottom w:w="0" w:type="dxa"/>
            <w:right w:w="108" w:type="dxa"/>
          </w:tblCellMar>
        </w:tblPrEx>
        <w:trPr>
          <w:trHeight w:val="90" w:hRule="atLeast"/>
        </w:trPr>
        <w:tc>
          <w:tcPr>
            <w:tcW w:w="5814" w:type="dxa"/>
            <w:gridSpan w:val="3"/>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收     入</w:t>
            </w:r>
          </w:p>
        </w:tc>
        <w:tc>
          <w:tcPr>
            <w:tcW w:w="7671" w:type="dxa"/>
            <w:gridSpan w:val="4"/>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支     出</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    目</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行次</w:t>
            </w:r>
          </w:p>
        </w:tc>
        <w:tc>
          <w:tcPr>
            <w:tcW w:w="1721"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决算数</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项目（按功能分类）</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行次</w:t>
            </w:r>
          </w:p>
        </w:tc>
        <w:tc>
          <w:tcPr>
            <w:tcW w:w="3505" w:type="dxa"/>
            <w:gridSpan w:val="2"/>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决算数</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    次</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　</w:t>
            </w:r>
          </w:p>
        </w:tc>
        <w:tc>
          <w:tcPr>
            <w:tcW w:w="1721"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    次</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　</w:t>
            </w:r>
          </w:p>
        </w:tc>
        <w:tc>
          <w:tcPr>
            <w:tcW w:w="3505" w:type="dxa"/>
            <w:gridSpan w:val="2"/>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一、一般公共预算财政拨款收入</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1,118,870.48</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一、一般公共服务支出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31</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二、政府性基金预算财政拨款收入</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二、外交支出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32</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三、上级补助收入</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三、国防支出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33</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四、事业收入</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四、公共安全支出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34</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五、经营收入</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五、教育支出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35</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六、附属单位上缴收入</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六、科学技术支出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36</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七、其他收入</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7</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七、文化旅游体育与传媒支出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37</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8</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八、社会保障和就业支出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38</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247,582.57</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9</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九、卫生健康支出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39</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105,466.00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10</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十、节能环保支出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40</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11</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十一、城乡社区支出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41</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12</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十二、农林水支出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42</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13</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十三、交通运输支出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43</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14</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十四、资源勘探信息等支出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44</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749,224.87</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15</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十五、商业服务业等支出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45</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16</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十六、金融支出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46</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17</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十七、援助其他地区支出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47</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18</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十八、自然资源海洋气象等支出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48</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19</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十九、住房保障支出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49</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20</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二十、粮油物资储备支出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50</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21</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二十一、灾害防治及应急管理支出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51</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22</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二十二、其他支出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52</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23</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二十三、债务还本支出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53</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24</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二十四、债务付息支出</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54</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25</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55</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b/>
                <w:bCs/>
                <w:color w:val="000000"/>
                <w:kern w:val="0"/>
                <w:sz w:val="22"/>
                <w:szCs w:val="22"/>
              </w:rPr>
            </w:pPr>
            <w:r>
              <w:rPr>
                <w:rFonts w:hint="eastAsia" w:ascii="宋体" w:hAnsi="宋体" w:cs="Arial"/>
                <w:b/>
                <w:bCs/>
                <w:color w:val="000000"/>
                <w:kern w:val="0"/>
                <w:sz w:val="22"/>
                <w:szCs w:val="22"/>
              </w:rPr>
              <w:t>本年收入合计</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26</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1,118,870.48</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b/>
                <w:bCs/>
                <w:color w:val="000000"/>
                <w:kern w:val="0"/>
                <w:sz w:val="22"/>
                <w:szCs w:val="22"/>
              </w:rPr>
            </w:pPr>
            <w:r>
              <w:rPr>
                <w:rFonts w:hint="eastAsia" w:ascii="宋体" w:hAnsi="宋体" w:cs="Arial"/>
                <w:b/>
                <w:bCs/>
                <w:color w:val="000000"/>
                <w:kern w:val="0"/>
                <w:sz w:val="22"/>
                <w:szCs w:val="22"/>
              </w:rPr>
              <w:t>本年支出合计</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56</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1,132,706.44</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用事业基金弥补收支差额</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27</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结余分配                 </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57</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年初结转和结余</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28</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128,731.41</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年末结转和结余                                </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58</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114,895.45</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29</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59</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357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b/>
                <w:bCs/>
                <w:color w:val="000000"/>
                <w:kern w:val="0"/>
                <w:sz w:val="22"/>
                <w:szCs w:val="22"/>
              </w:rPr>
            </w:pPr>
            <w:r>
              <w:rPr>
                <w:rFonts w:hint="eastAsia" w:ascii="宋体" w:hAnsi="宋体" w:cs="Arial"/>
                <w:b/>
                <w:bCs/>
                <w:color w:val="000000"/>
                <w:kern w:val="0"/>
                <w:sz w:val="22"/>
                <w:szCs w:val="22"/>
              </w:rPr>
              <w:t>总计</w:t>
            </w:r>
          </w:p>
        </w:tc>
        <w:tc>
          <w:tcPr>
            <w:tcW w:w="5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30</w:t>
            </w:r>
          </w:p>
        </w:tc>
        <w:tc>
          <w:tcPr>
            <w:tcW w:w="17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1,247,601.89</w:t>
            </w:r>
          </w:p>
        </w:tc>
        <w:tc>
          <w:tcPr>
            <w:tcW w:w="357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b/>
                <w:bCs/>
                <w:color w:val="000000"/>
                <w:kern w:val="0"/>
                <w:sz w:val="22"/>
                <w:szCs w:val="22"/>
              </w:rPr>
            </w:pPr>
            <w:r>
              <w:rPr>
                <w:rFonts w:hint="eastAsia" w:ascii="宋体" w:hAnsi="宋体" w:cs="Arial"/>
                <w:b/>
                <w:bCs/>
                <w:color w:val="000000"/>
                <w:kern w:val="0"/>
                <w:sz w:val="22"/>
                <w:szCs w:val="22"/>
              </w:rPr>
              <w:t>总计</w:t>
            </w:r>
          </w:p>
        </w:tc>
        <w:tc>
          <w:tcPr>
            <w:tcW w:w="58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60</w:t>
            </w:r>
          </w:p>
        </w:tc>
        <w:tc>
          <w:tcPr>
            <w:tcW w:w="35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1,247,601.89</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0" w:hRule="atLeast"/>
        </w:trPr>
        <w:tc>
          <w:tcPr>
            <w:tcW w:w="13485" w:type="dxa"/>
            <w:gridSpan w:val="7"/>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注：本表反映部门本年度的总收支和年末结转结余情况。</w:t>
            </w:r>
          </w:p>
        </w:tc>
        <w:tc>
          <w:tcPr>
            <w:tcW w:w="225" w:type="dxa"/>
            <w:vAlign w:val="center"/>
          </w:tcPr>
          <w:p>
            <w:pPr>
              <w:widowControl/>
              <w:jc w:val="left"/>
              <w:rPr>
                <w:rFonts w:eastAsia="Times New Roman"/>
                <w:kern w:val="0"/>
                <w:sz w:val="20"/>
                <w:szCs w:val="20"/>
              </w:rPr>
            </w:pPr>
          </w:p>
        </w:tc>
        <w:tc>
          <w:tcPr>
            <w:tcW w:w="908" w:type="dxa"/>
            <w:vAlign w:val="center"/>
          </w:tcPr>
          <w:p>
            <w:pPr>
              <w:widowControl/>
              <w:jc w:val="left"/>
              <w:rPr>
                <w:rFonts w:eastAsia="Times New Roman"/>
                <w:kern w:val="0"/>
                <w:sz w:val="20"/>
                <w:szCs w:val="20"/>
              </w:rPr>
            </w:pPr>
          </w:p>
        </w:tc>
      </w:tr>
    </w:tbl>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tbl>
      <w:tblPr>
        <w:tblStyle w:val="5"/>
        <w:tblpPr w:leftFromText="180" w:rightFromText="180" w:vertAnchor="page" w:horzAnchor="page" w:tblpXSpec="center" w:tblpY="2151"/>
        <w:tblW w:w="15854" w:type="dxa"/>
        <w:jc w:val="center"/>
        <w:tblLayout w:type="autofit"/>
        <w:tblCellMar>
          <w:top w:w="0" w:type="dxa"/>
          <w:left w:w="108" w:type="dxa"/>
          <w:bottom w:w="0" w:type="dxa"/>
          <w:right w:w="108" w:type="dxa"/>
        </w:tblCellMar>
      </w:tblPr>
      <w:tblGrid>
        <w:gridCol w:w="436"/>
        <w:gridCol w:w="436"/>
        <w:gridCol w:w="436"/>
        <w:gridCol w:w="2676"/>
        <w:gridCol w:w="1536"/>
        <w:gridCol w:w="1536"/>
        <w:gridCol w:w="1270"/>
        <w:gridCol w:w="962"/>
        <w:gridCol w:w="316"/>
        <w:gridCol w:w="590"/>
        <w:gridCol w:w="859"/>
        <w:gridCol w:w="2370"/>
        <w:gridCol w:w="1270"/>
        <w:gridCol w:w="1270"/>
      </w:tblGrid>
      <w:tr>
        <w:tblPrEx>
          <w:tblCellMar>
            <w:top w:w="0" w:type="dxa"/>
            <w:left w:w="108" w:type="dxa"/>
            <w:bottom w:w="0" w:type="dxa"/>
            <w:right w:w="108" w:type="dxa"/>
          </w:tblCellMar>
        </w:tblPrEx>
        <w:trPr>
          <w:trHeight w:val="488" w:hRule="atLeast"/>
          <w:jc w:val="center"/>
        </w:trPr>
        <w:tc>
          <w:tcPr>
            <w:tcW w:w="425"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425"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425"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2676"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5544" w:type="dxa"/>
            <w:gridSpan w:val="5"/>
            <w:vMerge w:val="restart"/>
            <w:tcBorders>
              <w:top w:val="nil"/>
              <w:left w:val="nil"/>
              <w:right w:val="nil"/>
            </w:tcBorders>
            <w:shd w:val="clear" w:color="auto" w:fill="auto"/>
            <w:noWrap/>
            <w:vAlign w:val="bottom"/>
          </w:tcPr>
          <w:p>
            <w:pPr>
              <w:widowControl/>
              <w:jc w:val="center"/>
              <w:rPr>
                <w:rFonts w:hint="eastAsia" w:ascii="宋体" w:hAnsi="宋体" w:cs="Arial"/>
                <w:color w:val="000000"/>
                <w:kern w:val="0"/>
                <w:sz w:val="44"/>
                <w:szCs w:val="44"/>
              </w:rPr>
            </w:pPr>
          </w:p>
          <w:p>
            <w:pPr>
              <w:widowControl/>
              <w:jc w:val="center"/>
              <w:rPr>
                <w:rFonts w:hint="eastAsia" w:ascii="宋体" w:hAnsi="宋体" w:cs="Arial"/>
                <w:color w:val="000000"/>
                <w:kern w:val="0"/>
                <w:sz w:val="44"/>
                <w:szCs w:val="44"/>
              </w:rPr>
            </w:pPr>
          </w:p>
          <w:p>
            <w:pPr>
              <w:widowControl/>
              <w:jc w:val="center"/>
              <w:rPr>
                <w:rFonts w:hint="eastAsia" w:ascii="宋体" w:hAnsi="宋体" w:cs="Arial"/>
                <w:color w:val="000000"/>
                <w:kern w:val="0"/>
                <w:sz w:val="44"/>
                <w:szCs w:val="44"/>
              </w:rPr>
            </w:pPr>
          </w:p>
          <w:p>
            <w:pPr>
              <w:widowControl/>
              <w:jc w:val="center"/>
              <w:rPr>
                <w:rFonts w:ascii="Arial" w:hAnsi="Arial" w:cs="Arial"/>
                <w:color w:val="000000"/>
                <w:kern w:val="0"/>
                <w:sz w:val="20"/>
                <w:szCs w:val="20"/>
              </w:rPr>
            </w:pPr>
            <w:r>
              <w:rPr>
                <w:rFonts w:hint="eastAsia" w:ascii="宋体" w:hAnsi="宋体" w:cs="Arial"/>
                <w:color w:val="000000"/>
                <w:kern w:val="0"/>
                <w:sz w:val="44"/>
                <w:szCs w:val="44"/>
              </w:rPr>
              <w:t>收入决算表</w:t>
            </w:r>
          </w:p>
        </w:tc>
        <w:tc>
          <w:tcPr>
            <w:tcW w:w="590"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859"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2370"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270"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270"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051" w:hRule="atLeast"/>
          <w:jc w:val="center"/>
        </w:trPr>
        <w:tc>
          <w:tcPr>
            <w:tcW w:w="425"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425"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425"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2676"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5544" w:type="dxa"/>
            <w:gridSpan w:val="5"/>
            <w:vMerge w:val="continue"/>
            <w:tcBorders>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590"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859"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2370"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270"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金额单位：元</w:t>
            </w:r>
          </w:p>
        </w:tc>
        <w:tc>
          <w:tcPr>
            <w:tcW w:w="1270" w:type="dxa"/>
            <w:tcBorders>
              <w:top w:val="nil"/>
              <w:left w:val="nil"/>
              <w:bottom w:val="nil"/>
              <w:right w:val="nil"/>
            </w:tcBorders>
            <w:shd w:val="clear" w:color="auto" w:fill="auto"/>
            <w:noWrap/>
            <w:vAlign w:val="bottom"/>
          </w:tcPr>
          <w:p>
            <w:pPr>
              <w:widowControl/>
              <w:jc w:val="right"/>
              <w:rPr>
                <w:rFonts w:hint="eastAsia" w:ascii="宋体" w:hAnsi="宋体" w:cs="Arial"/>
                <w:color w:val="000000"/>
                <w:kern w:val="0"/>
                <w:sz w:val="20"/>
                <w:szCs w:val="20"/>
              </w:rPr>
            </w:pPr>
          </w:p>
        </w:tc>
      </w:tr>
      <w:tr>
        <w:tblPrEx>
          <w:tblCellMar>
            <w:top w:w="0" w:type="dxa"/>
            <w:left w:w="108" w:type="dxa"/>
            <w:bottom w:w="0" w:type="dxa"/>
            <w:right w:w="108" w:type="dxa"/>
          </w:tblCellMar>
        </w:tblPrEx>
        <w:trPr>
          <w:trHeight w:val="317" w:hRule="atLeast"/>
          <w:jc w:val="center"/>
        </w:trPr>
        <w:tc>
          <w:tcPr>
            <w:tcW w:w="3951" w:type="dxa"/>
            <w:gridSpan w:val="4"/>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编制单位：庐山市轻化建材行业管理办公室</w:t>
            </w:r>
          </w:p>
        </w:tc>
        <w:tc>
          <w:tcPr>
            <w:tcW w:w="1498"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498"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270" w:type="dxa"/>
            <w:tcBorders>
              <w:top w:val="nil"/>
              <w:left w:val="nil"/>
              <w:bottom w:val="nil"/>
              <w:right w:val="nil"/>
            </w:tcBorders>
            <w:shd w:val="clear" w:color="auto" w:fill="auto"/>
            <w:noWrap/>
            <w:vAlign w:val="bottom"/>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2019年度</w:t>
            </w:r>
          </w:p>
        </w:tc>
        <w:tc>
          <w:tcPr>
            <w:tcW w:w="1278"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590"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859"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2370"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270"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公开02表</w:t>
            </w:r>
          </w:p>
        </w:tc>
        <w:tc>
          <w:tcPr>
            <w:tcW w:w="1270" w:type="dxa"/>
            <w:tcBorders>
              <w:top w:val="nil"/>
              <w:left w:val="nil"/>
              <w:bottom w:val="nil"/>
              <w:right w:val="nil"/>
            </w:tcBorders>
            <w:shd w:val="clear" w:color="auto" w:fill="auto"/>
            <w:noWrap/>
            <w:vAlign w:val="bottom"/>
          </w:tcPr>
          <w:p>
            <w:pPr>
              <w:widowControl/>
              <w:jc w:val="right"/>
              <w:rPr>
                <w:rFonts w:hint="eastAsia" w:ascii="宋体" w:hAnsi="宋体" w:cs="Arial"/>
                <w:color w:val="000000"/>
                <w:kern w:val="0"/>
                <w:sz w:val="20"/>
                <w:szCs w:val="20"/>
              </w:rPr>
            </w:pPr>
          </w:p>
        </w:tc>
      </w:tr>
      <w:tr>
        <w:tblPrEx>
          <w:tblCellMar>
            <w:top w:w="0" w:type="dxa"/>
            <w:left w:w="108" w:type="dxa"/>
            <w:bottom w:w="0" w:type="dxa"/>
            <w:right w:w="108" w:type="dxa"/>
          </w:tblCellMar>
        </w:tblPrEx>
        <w:trPr>
          <w:trHeight w:val="330" w:hRule="atLeast"/>
          <w:jc w:val="center"/>
        </w:trPr>
        <w:tc>
          <w:tcPr>
            <w:tcW w:w="3951" w:type="dxa"/>
            <w:gridSpan w:val="4"/>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    目</w:t>
            </w:r>
          </w:p>
        </w:tc>
        <w:tc>
          <w:tcPr>
            <w:tcW w:w="1498" w:type="dxa"/>
            <w:vMerge w:val="restart"/>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本年收入合计</w:t>
            </w:r>
          </w:p>
        </w:tc>
        <w:tc>
          <w:tcPr>
            <w:tcW w:w="1498" w:type="dxa"/>
            <w:vMerge w:val="restart"/>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财政拨款收入</w:t>
            </w:r>
          </w:p>
        </w:tc>
        <w:tc>
          <w:tcPr>
            <w:tcW w:w="1270" w:type="dxa"/>
            <w:vMerge w:val="restart"/>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上级补助收入</w:t>
            </w:r>
          </w:p>
        </w:tc>
        <w:tc>
          <w:tcPr>
            <w:tcW w:w="1868" w:type="dxa"/>
            <w:gridSpan w:val="3"/>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事业收入</w:t>
            </w:r>
          </w:p>
        </w:tc>
        <w:tc>
          <w:tcPr>
            <w:tcW w:w="859" w:type="dxa"/>
            <w:vMerge w:val="restart"/>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经营收入</w:t>
            </w:r>
          </w:p>
        </w:tc>
        <w:tc>
          <w:tcPr>
            <w:tcW w:w="2370" w:type="dxa"/>
            <w:vMerge w:val="restart"/>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附属单位上缴收入</w:t>
            </w:r>
          </w:p>
        </w:tc>
        <w:tc>
          <w:tcPr>
            <w:tcW w:w="1270" w:type="dxa"/>
            <w:vMerge w:val="restart"/>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其他收入</w:t>
            </w:r>
          </w:p>
        </w:tc>
        <w:tc>
          <w:tcPr>
            <w:tcW w:w="1270" w:type="dxa"/>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1275" w:type="dxa"/>
            <w:gridSpan w:val="3"/>
            <w:vMerge w:val="restart"/>
            <w:tcBorders>
              <w:top w:val="nil"/>
              <w:left w:val="single" w:color="000000" w:sz="4" w:space="0"/>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支出功能分类科目编码</w:t>
            </w:r>
          </w:p>
        </w:tc>
        <w:tc>
          <w:tcPr>
            <w:tcW w:w="2676"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149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9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7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962"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小计</w:t>
            </w:r>
          </w:p>
        </w:tc>
        <w:tc>
          <w:tcPr>
            <w:tcW w:w="906" w:type="dxa"/>
            <w:gridSpan w:val="2"/>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其中：教育收费</w:t>
            </w:r>
          </w:p>
        </w:tc>
        <w:tc>
          <w:tcPr>
            <w:tcW w:w="85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37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7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70" w:type="dxa"/>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1275"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676"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9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9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7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962"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906"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85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37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7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70" w:type="dxa"/>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1275"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676"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9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9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7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962"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906"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85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37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7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70" w:type="dxa"/>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425" w:type="dxa"/>
            <w:vMerge w:val="restart"/>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类</w:t>
            </w:r>
          </w:p>
        </w:tc>
        <w:tc>
          <w:tcPr>
            <w:tcW w:w="425"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款</w:t>
            </w:r>
          </w:p>
        </w:tc>
        <w:tc>
          <w:tcPr>
            <w:tcW w:w="425"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w:t>
            </w:r>
          </w:p>
        </w:tc>
        <w:tc>
          <w:tcPr>
            <w:tcW w:w="267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1498"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1498"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12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962"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906" w:type="dxa"/>
            <w:gridSpan w:val="2"/>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w:t>
            </w:r>
          </w:p>
        </w:tc>
        <w:tc>
          <w:tcPr>
            <w:tcW w:w="85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w:t>
            </w:r>
          </w:p>
        </w:tc>
        <w:tc>
          <w:tcPr>
            <w:tcW w:w="23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7</w:t>
            </w:r>
          </w:p>
        </w:tc>
        <w:tc>
          <w:tcPr>
            <w:tcW w:w="12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8</w:t>
            </w:r>
          </w:p>
        </w:tc>
        <w:tc>
          <w:tcPr>
            <w:tcW w:w="1270" w:type="dxa"/>
            <w:tcBorders>
              <w:top w:val="nil"/>
              <w:left w:val="nil"/>
              <w:bottom w:val="single" w:color="000000" w:sz="4" w:space="0"/>
              <w:right w:val="single" w:color="000000" w:sz="4" w:space="0"/>
            </w:tcBorders>
            <w:shd w:val="clear" w:color="FFFFFF" w:fill="C0C0C0"/>
            <w:noWrap/>
            <w:vAlign w:val="center"/>
          </w:tcPr>
          <w:p>
            <w:pPr>
              <w:widowControl/>
              <w:jc w:val="center"/>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42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25"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25"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67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1,118,870.48</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1,118,870.48</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社会保障和就业支出</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255,940.48</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255,940.48</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行政事业单位离退休</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236,268.48</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236,268.48</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2080502</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事业单位离退休</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91,975.00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91,975.00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645"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2080505</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机关事业单位基本养老保险缴费支出</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98,823.20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98,823.20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645"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2080506</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机关事业单位职业年金缴费支出</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45,470.28</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45,470.28</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20808</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抚恤</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13,992.00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13,992.00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2080899</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其他优抚支出</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13,992.00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13,992.00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645"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20827</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财政对其他社会保险基金的补助</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5,680.00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5,680.00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645"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2082701</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财政对失业保险基金的补助</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1,600.00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1,600.00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645"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2082702</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财政对工伤保险基金的补助</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180.00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645"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2082703</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财政对生育保险基金的补助</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3,150.00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3,150.00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645"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2082799</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其他财政对社会保险基金的补助</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750.00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750.00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卫生健康支出</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115,984.00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115,984.00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21011</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行政事业单位医疗</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115,984.00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115,984.00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2101101</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行政单位医疗</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82,212.00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82,212.00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2101102</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事业单位医疗</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33,772.00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33,772.00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215</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资源勘探信息等支出</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716,513.00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716,513.00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21505</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工业和信息产业监管</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716,513.00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716,513.00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2150501</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行政运行</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2,640.00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2,640.00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645"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2150599</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其他工业和信息产业监管支出</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713,873.00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713,873.00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住房保障支出</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22102</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住房改革支出</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330" w:hRule="atLeast"/>
          <w:jc w:val="center"/>
        </w:trPr>
        <w:tc>
          <w:tcPr>
            <w:tcW w:w="1275"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2210201</w:t>
            </w:r>
          </w:p>
        </w:tc>
        <w:tc>
          <w:tcPr>
            <w:tcW w:w="26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住房公积金</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4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90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3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70" w:type="dxa"/>
            <w:tcBorders>
              <w:top w:val="nil"/>
              <w:left w:val="nil"/>
              <w:bottom w:val="single" w:color="000000" w:sz="4" w:space="0"/>
              <w:right w:val="single" w:color="000000" w:sz="4" w:space="0"/>
            </w:tcBorders>
            <w:shd w:val="clear" w:color="auto" w:fill="auto"/>
            <w:noWrap/>
            <w:vAlign w:val="center"/>
          </w:tcPr>
          <w:p>
            <w:pPr>
              <w:widowControl/>
              <w:jc w:val="right"/>
              <w:rPr>
                <w:rFonts w:hint="eastAsia" w:ascii="宋体" w:hAnsi="宋体" w:cs="Arial"/>
                <w:color w:val="000000"/>
                <w:kern w:val="0"/>
                <w:sz w:val="22"/>
                <w:szCs w:val="22"/>
              </w:rPr>
            </w:pPr>
          </w:p>
        </w:tc>
      </w:tr>
      <w:tr>
        <w:tblPrEx>
          <w:tblCellMar>
            <w:top w:w="0" w:type="dxa"/>
            <w:left w:w="108" w:type="dxa"/>
            <w:bottom w:w="0" w:type="dxa"/>
            <w:right w:w="108" w:type="dxa"/>
          </w:tblCellMar>
        </w:tblPrEx>
        <w:trPr>
          <w:trHeight w:val="351" w:hRule="atLeast"/>
          <w:jc w:val="center"/>
        </w:trPr>
        <w:tc>
          <w:tcPr>
            <w:tcW w:w="14584" w:type="dxa"/>
            <w:gridSpan w:val="1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注：本表反映部门本年度取得的各项收入情况。</w:t>
            </w:r>
          </w:p>
        </w:tc>
        <w:tc>
          <w:tcPr>
            <w:tcW w:w="127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宋体" w:hAnsi="宋体" w:cs="Arial"/>
                <w:color w:val="000000"/>
                <w:kern w:val="0"/>
                <w:sz w:val="20"/>
                <w:szCs w:val="20"/>
              </w:rPr>
            </w:pPr>
          </w:p>
        </w:tc>
      </w:tr>
    </w:tbl>
    <w:p>
      <w:pPr>
        <w:spacing w:line="580" w:lineRule="exact"/>
        <w:rPr>
          <w:rFonts w:hint="eastAsia" w:ascii="仿宋_GB2312" w:hAnsi="仿宋" w:eastAsia="仿宋_GB2312" w:cs="仿宋_GB2312"/>
          <w:b/>
          <w:bCs/>
          <w:kern w:val="1"/>
          <w:sz w:val="36"/>
          <w:szCs w:val="36"/>
        </w:rPr>
      </w:pPr>
    </w:p>
    <w:tbl>
      <w:tblPr>
        <w:tblStyle w:val="5"/>
        <w:tblpPr w:leftFromText="180" w:rightFromText="180" w:vertAnchor="text" w:horzAnchor="page" w:tblpX="721" w:tblpY="-4064"/>
        <w:tblW w:w="14796" w:type="dxa"/>
        <w:tblInd w:w="0" w:type="dxa"/>
        <w:tblLayout w:type="autofit"/>
        <w:tblCellMar>
          <w:top w:w="0" w:type="dxa"/>
          <w:left w:w="108" w:type="dxa"/>
          <w:bottom w:w="0" w:type="dxa"/>
          <w:right w:w="108" w:type="dxa"/>
        </w:tblCellMar>
      </w:tblPr>
      <w:tblGrid>
        <w:gridCol w:w="436"/>
        <w:gridCol w:w="436"/>
        <w:gridCol w:w="436"/>
        <w:gridCol w:w="4297"/>
        <w:gridCol w:w="1796"/>
        <w:gridCol w:w="1796"/>
        <w:gridCol w:w="1294"/>
        <w:gridCol w:w="1294"/>
        <w:gridCol w:w="1294"/>
        <w:gridCol w:w="1728"/>
      </w:tblGrid>
      <w:tr>
        <w:tblPrEx>
          <w:tblCellMar>
            <w:top w:w="0" w:type="dxa"/>
            <w:left w:w="108" w:type="dxa"/>
            <w:bottom w:w="0" w:type="dxa"/>
            <w:right w:w="108" w:type="dxa"/>
          </w:tblCellMar>
        </w:tblPrEx>
        <w:trPr>
          <w:trHeight w:val="476" w:hRule="atLeast"/>
        </w:trPr>
        <w:tc>
          <w:tcPr>
            <w:tcW w:w="14794" w:type="dxa"/>
            <w:gridSpan w:val="10"/>
            <w:tcBorders>
              <w:top w:val="nil"/>
              <w:left w:val="nil"/>
              <w:bottom w:val="nil"/>
              <w:right w:val="nil"/>
            </w:tcBorders>
            <w:shd w:val="clear" w:color="auto" w:fill="auto"/>
            <w:noWrap/>
            <w:vAlign w:val="bottom"/>
          </w:tcPr>
          <w:p>
            <w:pPr>
              <w:widowControl/>
              <w:jc w:val="center"/>
              <w:rPr>
                <w:rFonts w:ascii="宋体" w:hAnsi="宋体" w:cs="Arial"/>
                <w:color w:val="000000"/>
                <w:kern w:val="0"/>
                <w:sz w:val="44"/>
                <w:szCs w:val="44"/>
              </w:rPr>
            </w:pPr>
            <w:r>
              <w:rPr>
                <w:rFonts w:hint="eastAsia" w:ascii="宋体" w:hAnsi="宋体" w:cs="Arial"/>
                <w:color w:val="000000"/>
                <w:kern w:val="0"/>
                <w:sz w:val="44"/>
                <w:szCs w:val="44"/>
              </w:rPr>
              <w:t>支出决算表</w:t>
            </w:r>
          </w:p>
        </w:tc>
      </w:tr>
      <w:tr>
        <w:tblPrEx>
          <w:tblCellMar>
            <w:top w:w="0" w:type="dxa"/>
            <w:left w:w="108" w:type="dxa"/>
            <w:bottom w:w="0" w:type="dxa"/>
            <w:right w:w="108" w:type="dxa"/>
          </w:tblCellMar>
        </w:tblPrEx>
        <w:trPr>
          <w:trHeight w:val="225" w:hRule="atLeast"/>
        </w:trPr>
        <w:tc>
          <w:tcPr>
            <w:tcW w:w="432"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432"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432"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4297"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796"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796"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294"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294"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294"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728"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金额单位：元</w:t>
            </w:r>
          </w:p>
        </w:tc>
      </w:tr>
      <w:tr>
        <w:tblPrEx>
          <w:tblCellMar>
            <w:top w:w="0" w:type="dxa"/>
            <w:left w:w="108" w:type="dxa"/>
            <w:bottom w:w="0" w:type="dxa"/>
            <w:right w:w="108" w:type="dxa"/>
          </w:tblCellMar>
        </w:tblPrEx>
        <w:trPr>
          <w:trHeight w:val="225" w:hRule="atLeast"/>
        </w:trPr>
        <w:tc>
          <w:tcPr>
            <w:tcW w:w="5594" w:type="dxa"/>
            <w:gridSpan w:val="4"/>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编制单位：庐山市轻化建材行业管理办公室</w:t>
            </w:r>
          </w:p>
        </w:tc>
        <w:tc>
          <w:tcPr>
            <w:tcW w:w="1796"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796" w:type="dxa"/>
            <w:tcBorders>
              <w:top w:val="nil"/>
              <w:left w:val="nil"/>
              <w:bottom w:val="nil"/>
              <w:right w:val="nil"/>
            </w:tcBorders>
            <w:shd w:val="clear" w:color="auto" w:fill="auto"/>
            <w:noWrap/>
            <w:vAlign w:val="bottom"/>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2019年度</w:t>
            </w:r>
          </w:p>
        </w:tc>
        <w:tc>
          <w:tcPr>
            <w:tcW w:w="1294"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294"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294"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728"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公开03表</w:t>
            </w:r>
          </w:p>
        </w:tc>
      </w:tr>
      <w:tr>
        <w:tblPrEx>
          <w:tblCellMar>
            <w:top w:w="0" w:type="dxa"/>
            <w:left w:w="108" w:type="dxa"/>
            <w:bottom w:w="0" w:type="dxa"/>
            <w:right w:w="108" w:type="dxa"/>
          </w:tblCellMar>
        </w:tblPrEx>
        <w:trPr>
          <w:trHeight w:val="271" w:hRule="atLeast"/>
        </w:trPr>
        <w:tc>
          <w:tcPr>
            <w:tcW w:w="5594" w:type="dxa"/>
            <w:gridSpan w:val="4"/>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    目</w:t>
            </w:r>
          </w:p>
        </w:tc>
        <w:tc>
          <w:tcPr>
            <w:tcW w:w="1796"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本年支出合计</w:t>
            </w:r>
          </w:p>
        </w:tc>
        <w:tc>
          <w:tcPr>
            <w:tcW w:w="1796"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基本支出</w:t>
            </w:r>
          </w:p>
        </w:tc>
        <w:tc>
          <w:tcPr>
            <w:tcW w:w="1294"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项目支出</w:t>
            </w:r>
          </w:p>
        </w:tc>
        <w:tc>
          <w:tcPr>
            <w:tcW w:w="1294"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上缴上级支出</w:t>
            </w:r>
          </w:p>
        </w:tc>
        <w:tc>
          <w:tcPr>
            <w:tcW w:w="1294"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经营支出</w:t>
            </w:r>
          </w:p>
        </w:tc>
        <w:tc>
          <w:tcPr>
            <w:tcW w:w="1728"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对附属单位补助支出</w:t>
            </w:r>
          </w:p>
        </w:tc>
      </w:tr>
      <w:tr>
        <w:tblPrEx>
          <w:tblCellMar>
            <w:top w:w="0" w:type="dxa"/>
            <w:left w:w="108" w:type="dxa"/>
            <w:bottom w:w="0" w:type="dxa"/>
            <w:right w:w="108" w:type="dxa"/>
          </w:tblCellMar>
        </w:tblPrEx>
        <w:trPr>
          <w:trHeight w:val="312" w:hRule="atLeast"/>
        </w:trPr>
        <w:tc>
          <w:tcPr>
            <w:tcW w:w="1297" w:type="dxa"/>
            <w:gridSpan w:val="3"/>
            <w:vMerge w:val="restart"/>
            <w:tcBorders>
              <w:top w:val="nil"/>
              <w:left w:val="single" w:color="000000" w:sz="4" w:space="0"/>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支出功能分类科目编码</w:t>
            </w:r>
          </w:p>
        </w:tc>
        <w:tc>
          <w:tcPr>
            <w:tcW w:w="4297"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1796"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796"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9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9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9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72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12" w:hRule="atLeast"/>
        </w:trPr>
        <w:tc>
          <w:tcPr>
            <w:tcW w:w="1297"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297"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796"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796"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9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9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9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72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12" w:hRule="atLeast"/>
        </w:trPr>
        <w:tc>
          <w:tcPr>
            <w:tcW w:w="1297"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297"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796"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796"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9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9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9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72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271" w:hRule="atLeast"/>
        </w:trPr>
        <w:tc>
          <w:tcPr>
            <w:tcW w:w="432" w:type="dxa"/>
            <w:vMerge w:val="restart"/>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类</w:t>
            </w:r>
          </w:p>
        </w:tc>
        <w:tc>
          <w:tcPr>
            <w:tcW w:w="432"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款</w:t>
            </w:r>
          </w:p>
        </w:tc>
        <w:tc>
          <w:tcPr>
            <w:tcW w:w="432"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w:t>
            </w:r>
          </w:p>
        </w:tc>
        <w:tc>
          <w:tcPr>
            <w:tcW w:w="429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1796"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1796"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1294"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1294"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1294"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w:t>
            </w:r>
          </w:p>
        </w:tc>
        <w:tc>
          <w:tcPr>
            <w:tcW w:w="1728"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w:t>
            </w:r>
          </w:p>
        </w:tc>
      </w:tr>
      <w:tr>
        <w:tblPrEx>
          <w:tblCellMar>
            <w:top w:w="0" w:type="dxa"/>
            <w:left w:w="108" w:type="dxa"/>
            <w:bottom w:w="0" w:type="dxa"/>
            <w:right w:w="108" w:type="dxa"/>
          </w:tblCellMar>
        </w:tblPrEx>
        <w:trPr>
          <w:trHeight w:val="271" w:hRule="atLeast"/>
        </w:trPr>
        <w:tc>
          <w:tcPr>
            <w:tcW w:w="43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32"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32"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29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1,132,706.44</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1,132,706.44</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社会保障和就业支出</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247,582.57</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247,582.57</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行政事业单位离退休</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231,405.07</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231,405.07</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2080502</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事业单位离退休</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89,400.00</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89,400.00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2080505</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机关事业单位基本养老保险缴费支出</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96,534.79</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96,534.79</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2080506</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机关事业单位职业年金缴费支出</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45,470.28</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45,470.28</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20808</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抚恤</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13,992.00</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13,992.00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2080899</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其他优抚支出</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13,992.00</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13,992.00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20827</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财政对其他社会保险基金的补助</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2,185.50</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2,185.50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2082701</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财政对失业保险基金的补助</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823.79</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823.79</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2082702</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财政对工伤保险基金的补助</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180.00</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2082703</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财政对生育保险基金的补助</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431.71</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431.71</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2082799</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其他财政对社会保险基金的补助</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750.00</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750.00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卫生健康支出</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105,466.00</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105,466.00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21011</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行政事业单位医疗</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105,466.00</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105,466.00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2101101</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行政单位医疗</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71,694.00</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71,694.00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2101102</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事业单位医疗</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33,772.00</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33,772.00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215</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资源勘探信息等支出</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749,224.87</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749,224.87</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21505</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工业和信息产业监管</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749,224.87</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749,224.87</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2150501</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行政运行</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2,640.00</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2,640.00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2150503</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机关服务</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123,734.78</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123,734.78</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2150599</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其他工业和信息产业监管支出</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622,850.09</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622,850.09</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住房保障支出</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22102</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住房改革支出</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29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2210201</w:t>
            </w:r>
          </w:p>
        </w:tc>
        <w:tc>
          <w:tcPr>
            <w:tcW w:w="429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住房公积金</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79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9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2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71" w:hRule="atLeast"/>
        </w:trPr>
        <w:tc>
          <w:tcPr>
            <w:tcW w:w="14794" w:type="dxa"/>
            <w:gridSpan w:val="10"/>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注：本表反映部门本年度各项支出情况。</w:t>
            </w:r>
          </w:p>
        </w:tc>
      </w:tr>
    </w:tbl>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tbl>
      <w:tblPr>
        <w:tblStyle w:val="5"/>
        <w:tblW w:w="15172" w:type="dxa"/>
        <w:tblInd w:w="93" w:type="dxa"/>
        <w:tblLayout w:type="autofit"/>
        <w:tblCellMar>
          <w:top w:w="0" w:type="dxa"/>
          <w:left w:w="108" w:type="dxa"/>
          <w:bottom w:w="0" w:type="dxa"/>
          <w:right w:w="108" w:type="dxa"/>
        </w:tblCellMar>
      </w:tblPr>
      <w:tblGrid>
        <w:gridCol w:w="2890"/>
        <w:gridCol w:w="470"/>
        <w:gridCol w:w="1536"/>
        <w:gridCol w:w="3330"/>
        <w:gridCol w:w="470"/>
        <w:gridCol w:w="1776"/>
        <w:gridCol w:w="1777"/>
        <w:gridCol w:w="1771"/>
        <w:gridCol w:w="222"/>
        <w:gridCol w:w="930"/>
      </w:tblGrid>
      <w:tr>
        <w:tblPrEx>
          <w:tblCellMar>
            <w:top w:w="0" w:type="dxa"/>
            <w:left w:w="108" w:type="dxa"/>
            <w:bottom w:w="0" w:type="dxa"/>
            <w:right w:w="108" w:type="dxa"/>
          </w:tblCellMar>
        </w:tblPrEx>
        <w:trPr>
          <w:gridAfter w:val="2"/>
          <w:wAfter w:w="1152" w:type="dxa"/>
          <w:trHeight w:val="540" w:hRule="atLeast"/>
        </w:trPr>
        <w:tc>
          <w:tcPr>
            <w:tcW w:w="14020" w:type="dxa"/>
            <w:gridSpan w:val="8"/>
            <w:tcBorders>
              <w:top w:val="nil"/>
              <w:left w:val="nil"/>
              <w:bottom w:val="nil"/>
              <w:right w:val="nil"/>
            </w:tcBorders>
            <w:shd w:val="clear" w:color="auto" w:fill="auto"/>
            <w:noWrap/>
            <w:vAlign w:val="bottom"/>
          </w:tcPr>
          <w:p>
            <w:pPr>
              <w:widowControl/>
              <w:jc w:val="center"/>
              <w:rPr>
                <w:rFonts w:ascii="宋体" w:hAnsi="宋体" w:cs="Arial"/>
                <w:color w:val="000000"/>
                <w:kern w:val="0"/>
                <w:sz w:val="44"/>
                <w:szCs w:val="44"/>
              </w:rPr>
            </w:pPr>
            <w:r>
              <w:rPr>
                <w:rFonts w:hint="eastAsia" w:ascii="宋体" w:hAnsi="宋体" w:cs="Arial"/>
                <w:color w:val="000000"/>
                <w:kern w:val="0"/>
                <w:sz w:val="44"/>
                <w:szCs w:val="44"/>
              </w:rPr>
              <w:t>财政拨款收入支出决算总表</w:t>
            </w:r>
          </w:p>
        </w:tc>
      </w:tr>
      <w:tr>
        <w:tblPrEx>
          <w:tblCellMar>
            <w:top w:w="0" w:type="dxa"/>
            <w:left w:w="108" w:type="dxa"/>
            <w:bottom w:w="0" w:type="dxa"/>
            <w:right w:w="108" w:type="dxa"/>
          </w:tblCellMar>
        </w:tblPrEx>
        <w:trPr>
          <w:gridAfter w:val="2"/>
          <w:wAfter w:w="1152" w:type="dxa"/>
          <w:trHeight w:val="255" w:hRule="atLeast"/>
        </w:trPr>
        <w:tc>
          <w:tcPr>
            <w:tcW w:w="2890"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470"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536"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3330"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470"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776"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777"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771"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金额单位：元</w:t>
            </w:r>
          </w:p>
        </w:tc>
      </w:tr>
      <w:tr>
        <w:tblPrEx>
          <w:tblCellMar>
            <w:top w:w="0" w:type="dxa"/>
            <w:left w:w="108" w:type="dxa"/>
            <w:bottom w:w="0" w:type="dxa"/>
            <w:right w:w="108" w:type="dxa"/>
          </w:tblCellMar>
        </w:tblPrEx>
        <w:trPr>
          <w:trHeight w:val="255" w:hRule="atLeast"/>
        </w:trPr>
        <w:tc>
          <w:tcPr>
            <w:tcW w:w="8696" w:type="dxa"/>
            <w:gridSpan w:val="5"/>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编制单位：庐山市轻化建材行业管理办公室                         2019年度</w:t>
            </w:r>
          </w:p>
        </w:tc>
        <w:tc>
          <w:tcPr>
            <w:tcW w:w="1776"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4700" w:type="dxa"/>
            <w:gridSpan w:val="4"/>
            <w:tcBorders>
              <w:top w:val="nil"/>
              <w:left w:val="nil"/>
              <w:bottom w:val="nil"/>
              <w:right w:val="nil"/>
            </w:tcBorders>
            <w:shd w:val="clear" w:color="auto" w:fill="auto"/>
            <w:noWrap/>
            <w:vAlign w:val="bottom"/>
          </w:tcPr>
          <w:p>
            <w:pPr>
              <w:widowControl/>
              <w:ind w:right="400" w:firstLine="2500" w:firstLineChars="1250"/>
              <w:rPr>
                <w:rFonts w:ascii="宋体" w:hAnsi="宋体" w:cs="Arial"/>
                <w:color w:val="000000"/>
                <w:kern w:val="0"/>
                <w:sz w:val="20"/>
                <w:szCs w:val="20"/>
              </w:rPr>
            </w:pPr>
            <w:r>
              <w:rPr>
                <w:rFonts w:hint="eastAsia" w:ascii="宋体" w:hAnsi="宋体" w:cs="Arial"/>
                <w:color w:val="000000"/>
                <w:kern w:val="0"/>
                <w:sz w:val="20"/>
                <w:szCs w:val="20"/>
              </w:rPr>
              <w:t>公开04表</w:t>
            </w:r>
          </w:p>
        </w:tc>
      </w:tr>
      <w:tr>
        <w:tblPrEx>
          <w:tblCellMar>
            <w:top w:w="0" w:type="dxa"/>
            <w:left w:w="108" w:type="dxa"/>
            <w:bottom w:w="0" w:type="dxa"/>
            <w:right w:w="108" w:type="dxa"/>
          </w:tblCellMar>
        </w:tblPrEx>
        <w:trPr>
          <w:trHeight w:val="308" w:hRule="atLeast"/>
        </w:trPr>
        <w:tc>
          <w:tcPr>
            <w:tcW w:w="4896" w:type="dxa"/>
            <w:gridSpan w:val="3"/>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收     入</w:t>
            </w:r>
          </w:p>
        </w:tc>
        <w:tc>
          <w:tcPr>
            <w:tcW w:w="9124" w:type="dxa"/>
            <w:gridSpan w:val="5"/>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支     出</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vMerge w:val="restart"/>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    目</w:t>
            </w:r>
          </w:p>
        </w:tc>
        <w:tc>
          <w:tcPr>
            <w:tcW w:w="470"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行次</w:t>
            </w:r>
          </w:p>
        </w:tc>
        <w:tc>
          <w:tcPr>
            <w:tcW w:w="1536"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决算数</w:t>
            </w:r>
          </w:p>
        </w:tc>
        <w:tc>
          <w:tcPr>
            <w:tcW w:w="3330"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项目（按功能分类）</w:t>
            </w:r>
          </w:p>
        </w:tc>
        <w:tc>
          <w:tcPr>
            <w:tcW w:w="470"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行次</w:t>
            </w:r>
          </w:p>
        </w:tc>
        <w:tc>
          <w:tcPr>
            <w:tcW w:w="5324" w:type="dxa"/>
            <w:gridSpan w:val="3"/>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决算数</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585" w:hRule="atLeast"/>
        </w:trPr>
        <w:tc>
          <w:tcPr>
            <w:tcW w:w="289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70"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536"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3330"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70"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776"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小计</w:t>
            </w:r>
          </w:p>
        </w:tc>
        <w:tc>
          <w:tcPr>
            <w:tcW w:w="1777"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一般公共预算财政拨款</w:t>
            </w:r>
          </w:p>
        </w:tc>
        <w:tc>
          <w:tcPr>
            <w:tcW w:w="1771"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政府性基金预算财政拨款</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    次</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　</w:t>
            </w:r>
          </w:p>
        </w:tc>
        <w:tc>
          <w:tcPr>
            <w:tcW w:w="15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    次</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　</w:t>
            </w:r>
          </w:p>
        </w:tc>
        <w:tc>
          <w:tcPr>
            <w:tcW w:w="177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10</w:t>
            </w:r>
          </w:p>
        </w:tc>
        <w:tc>
          <w:tcPr>
            <w:tcW w:w="177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11</w:t>
            </w:r>
          </w:p>
        </w:tc>
        <w:tc>
          <w:tcPr>
            <w:tcW w:w="1771"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12</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一、一般公共预算财政拨款</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1,118,870.48</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一、一般公共服务支出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31</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二、政府性基金预算财政拨款</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二、外交支出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32</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三、国防支出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33</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四、公共安全支出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34</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五、教育支出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35</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六、科学技术支出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36</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7</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七、文化旅游体育与传媒支出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37</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8</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八、社会保障和就业支出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38</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247,582.57</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247,582.57</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9</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九、卫生健康支出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39</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105,466.00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105,466.00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10</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十、节能环保支出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40</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11</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十一、城乡社区支出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41</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12</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十二、农林水支出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42</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13</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十三、交通运输支出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43</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14</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十四、资源勘探信息等支出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44</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749,224.87</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749,224.87</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15</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十五、商业服务业等支出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45</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16</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十六、金融支出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46</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17</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十七、援助其他地区支出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47</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18</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十八、自然资源海洋气象等支出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48</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19</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十九、住房保障支出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49</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20</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二十、粮油物资储备支出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50</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21</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二十一、灾害防治及应急管理支出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51</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22</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二十二、其他支出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52</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23</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二十三、债务还本支出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53</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24</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二十四、债务付息支出</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54</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25</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55</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b/>
                <w:bCs/>
                <w:color w:val="000000"/>
                <w:kern w:val="0"/>
                <w:sz w:val="22"/>
                <w:szCs w:val="22"/>
              </w:rPr>
            </w:pPr>
            <w:r>
              <w:rPr>
                <w:rFonts w:hint="eastAsia" w:ascii="宋体" w:hAnsi="宋体" w:cs="Arial"/>
                <w:b/>
                <w:bCs/>
                <w:color w:val="000000"/>
                <w:kern w:val="0"/>
                <w:sz w:val="22"/>
                <w:szCs w:val="22"/>
              </w:rPr>
              <w:t>本年收入合计</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26</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1,118,870.48</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b/>
                <w:bCs/>
                <w:color w:val="000000"/>
                <w:kern w:val="0"/>
                <w:sz w:val="22"/>
                <w:szCs w:val="22"/>
              </w:rPr>
            </w:pPr>
            <w:r>
              <w:rPr>
                <w:rFonts w:hint="eastAsia" w:ascii="宋体" w:hAnsi="宋体" w:cs="Arial"/>
                <w:b/>
                <w:bCs/>
                <w:color w:val="000000"/>
                <w:kern w:val="0"/>
                <w:sz w:val="22"/>
                <w:szCs w:val="22"/>
              </w:rPr>
              <w:t>本年支出合计</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56</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1,132,706.44</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1,132,706.44</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年初财政拨款结转和结余</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27</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128,731.41</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年末财政拨款结转和结余</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57</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114,895.45</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114,895.45</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一、一般公共预算财政拨款</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28</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128,731.41</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58</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二、政府性基金预算财政拨款</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29</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59</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2890"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b/>
                <w:bCs/>
                <w:color w:val="000000"/>
                <w:kern w:val="0"/>
                <w:sz w:val="22"/>
                <w:szCs w:val="22"/>
              </w:rPr>
            </w:pPr>
            <w:r>
              <w:rPr>
                <w:rFonts w:hint="eastAsia" w:ascii="宋体" w:hAnsi="宋体" w:cs="Arial"/>
                <w:b/>
                <w:bCs/>
                <w:color w:val="000000"/>
                <w:kern w:val="0"/>
                <w:sz w:val="22"/>
                <w:szCs w:val="22"/>
              </w:rPr>
              <w:t>总计</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30</w:t>
            </w:r>
          </w:p>
        </w:tc>
        <w:tc>
          <w:tcPr>
            <w:tcW w:w="15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1,247,601.89</w:t>
            </w:r>
          </w:p>
        </w:tc>
        <w:tc>
          <w:tcPr>
            <w:tcW w:w="333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b/>
                <w:bCs/>
                <w:color w:val="000000"/>
                <w:kern w:val="0"/>
                <w:sz w:val="22"/>
                <w:szCs w:val="22"/>
              </w:rPr>
            </w:pPr>
            <w:r>
              <w:rPr>
                <w:rFonts w:hint="eastAsia" w:ascii="宋体" w:hAnsi="宋体" w:cs="Arial"/>
                <w:b/>
                <w:bCs/>
                <w:color w:val="000000"/>
                <w:kern w:val="0"/>
                <w:sz w:val="22"/>
                <w:szCs w:val="22"/>
              </w:rPr>
              <w:t>总计</w:t>
            </w:r>
          </w:p>
        </w:tc>
        <w:tc>
          <w:tcPr>
            <w:tcW w:w="4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60</w:t>
            </w:r>
          </w:p>
        </w:tc>
        <w:tc>
          <w:tcPr>
            <w:tcW w:w="17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1,247,601.89</w:t>
            </w:r>
          </w:p>
        </w:tc>
        <w:tc>
          <w:tcPr>
            <w:tcW w:w="1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1,247,601.89</w:t>
            </w:r>
          </w:p>
        </w:tc>
        <w:tc>
          <w:tcPr>
            <w:tcW w:w="177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08" w:hRule="atLeast"/>
        </w:trPr>
        <w:tc>
          <w:tcPr>
            <w:tcW w:w="14020" w:type="dxa"/>
            <w:gridSpan w:val="8"/>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注：本表反映部门本年度一般公共预算财政拨款和政府性基金预算财政拨款的总收支和年末结转结余情况。</w:t>
            </w:r>
          </w:p>
        </w:tc>
        <w:tc>
          <w:tcPr>
            <w:tcW w:w="222" w:type="dxa"/>
            <w:vAlign w:val="center"/>
          </w:tcPr>
          <w:p>
            <w:pPr>
              <w:widowControl/>
              <w:jc w:val="left"/>
              <w:rPr>
                <w:rFonts w:eastAsia="Times New Roman"/>
                <w:kern w:val="0"/>
                <w:sz w:val="20"/>
                <w:szCs w:val="20"/>
              </w:rPr>
            </w:pPr>
          </w:p>
        </w:tc>
        <w:tc>
          <w:tcPr>
            <w:tcW w:w="930" w:type="dxa"/>
            <w:vAlign w:val="center"/>
          </w:tcPr>
          <w:p>
            <w:pPr>
              <w:widowControl/>
              <w:jc w:val="left"/>
              <w:rPr>
                <w:rFonts w:eastAsia="Times New Roman"/>
                <w:kern w:val="0"/>
                <w:sz w:val="20"/>
                <w:szCs w:val="20"/>
              </w:rPr>
            </w:pPr>
          </w:p>
        </w:tc>
      </w:tr>
    </w:tbl>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tbl>
      <w:tblPr>
        <w:tblStyle w:val="5"/>
        <w:tblW w:w="10540" w:type="dxa"/>
        <w:tblInd w:w="93" w:type="dxa"/>
        <w:tblLayout w:type="autofit"/>
        <w:tblCellMar>
          <w:top w:w="0" w:type="dxa"/>
          <w:left w:w="108" w:type="dxa"/>
          <w:bottom w:w="0" w:type="dxa"/>
          <w:right w:w="108" w:type="dxa"/>
        </w:tblCellMar>
      </w:tblPr>
      <w:tblGrid>
        <w:gridCol w:w="436"/>
        <w:gridCol w:w="436"/>
        <w:gridCol w:w="436"/>
        <w:gridCol w:w="4702"/>
        <w:gridCol w:w="1684"/>
        <w:gridCol w:w="1684"/>
        <w:gridCol w:w="1534"/>
      </w:tblGrid>
      <w:tr>
        <w:tblPrEx>
          <w:tblCellMar>
            <w:top w:w="0" w:type="dxa"/>
            <w:left w:w="108" w:type="dxa"/>
            <w:bottom w:w="0" w:type="dxa"/>
            <w:right w:w="108" w:type="dxa"/>
          </w:tblCellMar>
        </w:tblPrEx>
        <w:trPr>
          <w:trHeight w:val="540" w:hRule="atLeast"/>
        </w:trPr>
        <w:tc>
          <w:tcPr>
            <w:tcW w:w="10540" w:type="dxa"/>
            <w:gridSpan w:val="7"/>
            <w:tcBorders>
              <w:top w:val="nil"/>
              <w:left w:val="nil"/>
              <w:bottom w:val="nil"/>
              <w:right w:val="nil"/>
            </w:tcBorders>
            <w:shd w:val="clear" w:color="auto" w:fill="auto"/>
            <w:noWrap/>
            <w:vAlign w:val="bottom"/>
          </w:tcPr>
          <w:p>
            <w:pPr>
              <w:widowControl/>
              <w:jc w:val="center"/>
              <w:rPr>
                <w:rFonts w:ascii="宋体" w:hAnsi="宋体" w:cs="Arial"/>
                <w:color w:val="000000"/>
                <w:kern w:val="0"/>
                <w:sz w:val="44"/>
                <w:szCs w:val="44"/>
              </w:rPr>
            </w:pPr>
            <w:r>
              <w:rPr>
                <w:rFonts w:hint="eastAsia" w:ascii="宋体" w:hAnsi="宋体" w:cs="Arial"/>
                <w:color w:val="000000"/>
                <w:kern w:val="0"/>
                <w:sz w:val="44"/>
                <w:szCs w:val="44"/>
              </w:rPr>
              <w:t>一般公共预算财政拨款支出决算表</w:t>
            </w:r>
          </w:p>
        </w:tc>
      </w:tr>
      <w:tr>
        <w:tblPrEx>
          <w:tblCellMar>
            <w:top w:w="0" w:type="dxa"/>
            <w:left w:w="108" w:type="dxa"/>
            <w:bottom w:w="0" w:type="dxa"/>
            <w:right w:w="108" w:type="dxa"/>
          </w:tblCellMar>
        </w:tblPrEx>
        <w:trPr>
          <w:trHeight w:val="255" w:hRule="atLeast"/>
        </w:trPr>
        <w:tc>
          <w:tcPr>
            <w:tcW w:w="312"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312"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312"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4702"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684"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684"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534"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金额单位：元</w:t>
            </w:r>
          </w:p>
        </w:tc>
      </w:tr>
      <w:tr>
        <w:tblPrEx>
          <w:tblCellMar>
            <w:top w:w="0" w:type="dxa"/>
            <w:left w:w="108" w:type="dxa"/>
            <w:bottom w:w="0" w:type="dxa"/>
            <w:right w:w="108" w:type="dxa"/>
          </w:tblCellMar>
        </w:tblPrEx>
        <w:trPr>
          <w:trHeight w:val="255" w:hRule="atLeast"/>
        </w:trPr>
        <w:tc>
          <w:tcPr>
            <w:tcW w:w="5638" w:type="dxa"/>
            <w:gridSpan w:val="4"/>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编制单位：庐山市轻化建材行业管理办公室</w:t>
            </w:r>
          </w:p>
        </w:tc>
        <w:tc>
          <w:tcPr>
            <w:tcW w:w="1684" w:type="dxa"/>
            <w:tcBorders>
              <w:top w:val="nil"/>
              <w:left w:val="nil"/>
              <w:bottom w:val="nil"/>
              <w:right w:val="nil"/>
            </w:tcBorders>
            <w:shd w:val="clear" w:color="auto" w:fill="auto"/>
            <w:noWrap/>
            <w:vAlign w:val="bottom"/>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2019年度</w:t>
            </w:r>
          </w:p>
        </w:tc>
        <w:tc>
          <w:tcPr>
            <w:tcW w:w="1684"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534"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xml:space="preserve">公开05表 </w:t>
            </w:r>
          </w:p>
        </w:tc>
      </w:tr>
      <w:tr>
        <w:tblPrEx>
          <w:tblCellMar>
            <w:top w:w="0" w:type="dxa"/>
            <w:left w:w="108" w:type="dxa"/>
            <w:bottom w:w="0" w:type="dxa"/>
            <w:right w:w="108" w:type="dxa"/>
          </w:tblCellMar>
        </w:tblPrEx>
        <w:trPr>
          <w:trHeight w:val="308" w:hRule="atLeast"/>
        </w:trPr>
        <w:tc>
          <w:tcPr>
            <w:tcW w:w="5638" w:type="dxa"/>
            <w:gridSpan w:val="4"/>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    目</w:t>
            </w:r>
          </w:p>
        </w:tc>
        <w:tc>
          <w:tcPr>
            <w:tcW w:w="1684" w:type="dxa"/>
            <w:vMerge w:val="restart"/>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本年支出合计</w:t>
            </w:r>
          </w:p>
        </w:tc>
        <w:tc>
          <w:tcPr>
            <w:tcW w:w="1684" w:type="dxa"/>
            <w:vMerge w:val="restart"/>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基本支出</w:t>
            </w:r>
          </w:p>
        </w:tc>
        <w:tc>
          <w:tcPr>
            <w:tcW w:w="1534" w:type="dxa"/>
            <w:vMerge w:val="restart"/>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项目支出</w:t>
            </w:r>
          </w:p>
        </w:tc>
      </w:tr>
      <w:tr>
        <w:tblPrEx>
          <w:tblCellMar>
            <w:top w:w="0" w:type="dxa"/>
            <w:left w:w="108" w:type="dxa"/>
            <w:bottom w:w="0" w:type="dxa"/>
            <w:right w:w="108" w:type="dxa"/>
          </w:tblCellMar>
        </w:tblPrEx>
        <w:trPr>
          <w:trHeight w:val="312" w:hRule="atLeast"/>
        </w:trPr>
        <w:tc>
          <w:tcPr>
            <w:tcW w:w="936" w:type="dxa"/>
            <w:gridSpan w:val="3"/>
            <w:vMerge w:val="restart"/>
            <w:tcBorders>
              <w:top w:val="nil"/>
              <w:left w:val="single" w:color="000000" w:sz="4" w:space="0"/>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支出功能分类科目编码</w:t>
            </w:r>
          </w:p>
        </w:tc>
        <w:tc>
          <w:tcPr>
            <w:tcW w:w="4702"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168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68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53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12" w:hRule="atLeast"/>
        </w:trPr>
        <w:tc>
          <w:tcPr>
            <w:tcW w:w="936"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702"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68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68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53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12" w:hRule="atLeast"/>
        </w:trPr>
        <w:tc>
          <w:tcPr>
            <w:tcW w:w="936"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702"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68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68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53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08" w:hRule="atLeast"/>
        </w:trPr>
        <w:tc>
          <w:tcPr>
            <w:tcW w:w="312" w:type="dxa"/>
            <w:vMerge w:val="restart"/>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类</w:t>
            </w:r>
          </w:p>
        </w:tc>
        <w:tc>
          <w:tcPr>
            <w:tcW w:w="312"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款</w:t>
            </w:r>
          </w:p>
        </w:tc>
        <w:tc>
          <w:tcPr>
            <w:tcW w:w="312"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w:t>
            </w:r>
          </w:p>
        </w:tc>
        <w:tc>
          <w:tcPr>
            <w:tcW w:w="4702"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1684"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1684"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1534"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r>
      <w:tr>
        <w:tblPrEx>
          <w:tblCellMar>
            <w:top w:w="0" w:type="dxa"/>
            <w:left w:w="108" w:type="dxa"/>
            <w:bottom w:w="0" w:type="dxa"/>
            <w:right w:w="108" w:type="dxa"/>
          </w:tblCellMar>
        </w:tblPrEx>
        <w:trPr>
          <w:trHeight w:val="308" w:hRule="atLeast"/>
        </w:trPr>
        <w:tc>
          <w:tcPr>
            <w:tcW w:w="31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312"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312"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702"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1,132,706.44</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1,132,706.44</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社会保障和就业支出</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247,582.57</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247,582.57</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行政事业单位离退休</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231,405.07</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231,405.07</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2080502</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事业单位离退休</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89,400.00</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89,400.00</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2080505</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机关事业单位基本养老保险缴费支出</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96,534.79</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96,534.79</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2080506</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机关事业单位职业年金缴费支出</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45,470.28</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45,470.28</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20808</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抚恤</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13,992.00</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13,992.00</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2080899</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其他优抚支出</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13,992.00</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13,992.00</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20827</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财政对其他社会保险基金的补助</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2,185.50</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2,185.50</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2082701</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财政对失业保险基金的补助</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823.79</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823.79</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2082702</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财政对工伤保险基金的补助</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180.00</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180.00</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2082703</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财政对生育保险基金的补助</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431.71</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431.71</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2082799</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其他财政对社会保险基金的补助</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750.00</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750.00</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卫生健康支出</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105,466.00</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105,466.00</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21011</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行政事业单位医疗</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105,466.00</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105,466.00</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2101101</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行政单位医疗</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71,694.00</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71,694.00</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2101102</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事业单位医疗</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33,772.00</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33,772.00</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215</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资源勘探信息等支出</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749,224.87</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749,224.87</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21505</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工业和信息产业监管</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749,224.87</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749,224.87</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2150501</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行政运行</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2,640.00</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2,640.00</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2150503</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机关服务</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123,734.78</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123,734.78</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2150599</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其他工业和信息产业监管支出</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622,850.09</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622,850.09</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住房保障支出</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22102</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住房改革支出</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93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2210201</w:t>
            </w:r>
          </w:p>
        </w:tc>
        <w:tc>
          <w:tcPr>
            <w:tcW w:w="4702"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住房公积金</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68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5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10540" w:type="dxa"/>
            <w:gridSpan w:val="7"/>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注：本表反映部门本年度一般公共预算财政拨款支出情况。</w:t>
            </w:r>
          </w:p>
        </w:tc>
      </w:tr>
    </w:tbl>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tbl>
      <w:tblPr>
        <w:tblStyle w:val="5"/>
        <w:tblW w:w="14280" w:type="dxa"/>
        <w:tblInd w:w="93" w:type="dxa"/>
        <w:tblLayout w:type="autofit"/>
        <w:tblCellMar>
          <w:top w:w="0" w:type="dxa"/>
          <w:left w:w="108" w:type="dxa"/>
          <w:bottom w:w="0" w:type="dxa"/>
          <w:right w:w="108" w:type="dxa"/>
        </w:tblCellMar>
      </w:tblPr>
      <w:tblGrid>
        <w:gridCol w:w="1259"/>
        <w:gridCol w:w="1766"/>
        <w:gridCol w:w="1931"/>
        <w:gridCol w:w="1258"/>
        <w:gridCol w:w="1902"/>
        <w:gridCol w:w="1616"/>
        <w:gridCol w:w="1337"/>
        <w:gridCol w:w="1452"/>
        <w:gridCol w:w="1759"/>
      </w:tblGrid>
      <w:tr>
        <w:tblPrEx>
          <w:tblCellMar>
            <w:top w:w="0" w:type="dxa"/>
            <w:left w:w="108" w:type="dxa"/>
            <w:bottom w:w="0" w:type="dxa"/>
            <w:right w:w="108" w:type="dxa"/>
          </w:tblCellMar>
        </w:tblPrEx>
        <w:trPr>
          <w:trHeight w:val="540" w:hRule="atLeast"/>
        </w:trPr>
        <w:tc>
          <w:tcPr>
            <w:tcW w:w="14280" w:type="dxa"/>
            <w:gridSpan w:val="9"/>
            <w:tcBorders>
              <w:top w:val="nil"/>
              <w:left w:val="nil"/>
              <w:bottom w:val="nil"/>
              <w:right w:val="nil"/>
            </w:tcBorders>
            <w:shd w:val="clear" w:color="auto" w:fill="auto"/>
            <w:noWrap/>
            <w:vAlign w:val="bottom"/>
          </w:tcPr>
          <w:p>
            <w:pPr>
              <w:widowControl/>
              <w:jc w:val="center"/>
              <w:rPr>
                <w:rFonts w:ascii="宋体" w:hAnsi="宋体" w:cs="Arial"/>
                <w:color w:val="000000"/>
                <w:kern w:val="0"/>
                <w:sz w:val="44"/>
                <w:szCs w:val="44"/>
              </w:rPr>
            </w:pPr>
            <w:r>
              <w:rPr>
                <w:rFonts w:hint="eastAsia" w:ascii="宋体" w:hAnsi="宋体" w:cs="Arial"/>
                <w:color w:val="000000"/>
                <w:kern w:val="0"/>
                <w:sz w:val="44"/>
                <w:szCs w:val="44"/>
              </w:rPr>
              <w:t>一般公共预算财政拨款基本支出决算表</w:t>
            </w:r>
          </w:p>
        </w:tc>
      </w:tr>
      <w:tr>
        <w:tblPrEx>
          <w:tblCellMar>
            <w:top w:w="0" w:type="dxa"/>
            <w:left w:w="108" w:type="dxa"/>
            <w:bottom w:w="0" w:type="dxa"/>
            <w:right w:w="108" w:type="dxa"/>
          </w:tblCellMar>
        </w:tblPrEx>
        <w:trPr>
          <w:trHeight w:val="255" w:hRule="atLeast"/>
        </w:trPr>
        <w:tc>
          <w:tcPr>
            <w:tcW w:w="1259"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766"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931"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258"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902"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616"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337"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452"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759"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金额单位：元</w:t>
            </w:r>
          </w:p>
        </w:tc>
      </w:tr>
      <w:tr>
        <w:tblPrEx>
          <w:tblCellMar>
            <w:top w:w="0" w:type="dxa"/>
            <w:left w:w="108" w:type="dxa"/>
            <w:bottom w:w="0" w:type="dxa"/>
            <w:right w:w="108" w:type="dxa"/>
          </w:tblCellMar>
        </w:tblPrEx>
        <w:trPr>
          <w:trHeight w:val="255" w:hRule="atLeast"/>
        </w:trPr>
        <w:tc>
          <w:tcPr>
            <w:tcW w:w="4956" w:type="dxa"/>
            <w:gridSpan w:val="3"/>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编制单位：庐山市轻化建材行业管理办公室</w:t>
            </w:r>
          </w:p>
        </w:tc>
        <w:tc>
          <w:tcPr>
            <w:tcW w:w="1258"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902" w:type="dxa"/>
            <w:tcBorders>
              <w:top w:val="nil"/>
              <w:left w:val="nil"/>
              <w:bottom w:val="nil"/>
              <w:right w:val="nil"/>
            </w:tcBorders>
            <w:shd w:val="clear" w:color="auto" w:fill="auto"/>
            <w:noWrap/>
            <w:vAlign w:val="bottom"/>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2019年度</w:t>
            </w:r>
          </w:p>
        </w:tc>
        <w:tc>
          <w:tcPr>
            <w:tcW w:w="1616"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337"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452"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759"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公开06表</w:t>
            </w:r>
          </w:p>
        </w:tc>
      </w:tr>
      <w:tr>
        <w:tblPrEx>
          <w:tblCellMar>
            <w:top w:w="0" w:type="dxa"/>
            <w:left w:w="108" w:type="dxa"/>
            <w:bottom w:w="0" w:type="dxa"/>
            <w:right w:w="108" w:type="dxa"/>
          </w:tblCellMar>
        </w:tblPrEx>
        <w:trPr>
          <w:trHeight w:val="308" w:hRule="atLeast"/>
        </w:trPr>
        <w:tc>
          <w:tcPr>
            <w:tcW w:w="4956" w:type="dxa"/>
            <w:gridSpan w:val="3"/>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人员经费</w:t>
            </w:r>
          </w:p>
        </w:tc>
        <w:tc>
          <w:tcPr>
            <w:tcW w:w="9324" w:type="dxa"/>
            <w:gridSpan w:val="6"/>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公用经费</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经济分类科目编码</w:t>
            </w:r>
          </w:p>
        </w:tc>
        <w:tc>
          <w:tcPr>
            <w:tcW w:w="1766"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1931"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金额</w:t>
            </w:r>
          </w:p>
        </w:tc>
        <w:tc>
          <w:tcPr>
            <w:tcW w:w="1258"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经济分类科目编码</w:t>
            </w:r>
          </w:p>
        </w:tc>
        <w:tc>
          <w:tcPr>
            <w:tcW w:w="1902"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161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金额</w:t>
            </w:r>
          </w:p>
        </w:tc>
        <w:tc>
          <w:tcPr>
            <w:tcW w:w="1337"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经济分类科目编码</w:t>
            </w:r>
          </w:p>
        </w:tc>
        <w:tc>
          <w:tcPr>
            <w:tcW w:w="1452"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175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金额</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301</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工资福利支出</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788,255.32</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302</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商品和服务支出</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111,906.66</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307</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债务利息及费用支出</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30101</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基本工资</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234,674.00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30201</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办公费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14,193.70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30701</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国内债务付息</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30102</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津贴补贴</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141,796.00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30202</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印刷费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30702</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国外债务付息</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30103</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奖金</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117,207.50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30203</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咨询费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30703</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国内债务发行费用</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30106</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伙食补助费</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30204</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手续费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30704</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国外债务发行费用</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30107</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绩效工资</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30205</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水费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960.00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310</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资本性支出</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30108</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机关事业单位基本养老保险缴费</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97,632.68</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30206</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电费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1,990.18</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31001</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房屋建筑物购建</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30109</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职业年金缴费</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45,470.28</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30207</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邮电费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6,467.00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31002</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办公设备购置</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30110</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职工基本医疗保险缴费</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104,749.16</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30208</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取暖费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31003</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专用设备购置</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30111</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公务员医疗补助缴款</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30209</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物业管理费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31005</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基础设施建设</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30112</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其他社会保障缴费</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5,095.70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30211</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差旅费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4,274.00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31006</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大型修缮</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30113</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住房公积金</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30,433.00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30212</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因公出国（境）费用</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31007</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信息网络及软件购置更新</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30114</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医疗费</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11,197.00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30213</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维修（护）费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16,619.99</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31008</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物资储备</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30199</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其他工资福利支出</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30214</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租赁费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31009</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土地补偿</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303</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对个人和家庭的补助</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232,544.46</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30215</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会议费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31010</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安置补助</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30301</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离休费</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99,175.00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30216</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培训费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310111</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地上附着物和青苗补偿</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30302</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退休费</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30217</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公务接待费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31012</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拆迁补偿</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30303</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退职（役）费</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30218</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专用材料费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31013</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公务用车购置</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30304</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抚恤金</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30224</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被装购置费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31019</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其他交通工具购置</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30305</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生活补贴</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133,369.46</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30225</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专用燃料费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31021</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文物和陈列品购置</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30306</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救济费</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30226</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劳务费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47,581.79</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31022</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无形资产购置</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30307</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医疗费补助</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30227</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委托业务费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31099</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其他资本性支出</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30308</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助学金</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30228</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工会经费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14,700.00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312</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对企业补助</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30309</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奖励金</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30229</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福利费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480.00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31201</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资本金注入</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30310</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个人农业生产补贴</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30231</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公务用车运行维护费</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31203</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政府投资基金股权投资</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30399</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其他对个人和家庭的补助支出</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30239</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其他交通费用</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2,440.00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31204</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费用补贴</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30240</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税金及附加费用</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31205</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利息补贴</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30299</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其他商品和服务支出</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2,200.00</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31299</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其他对企业补助</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399</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其他支出</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39906</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赠与</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39907</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国家赔偿费用支出</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39908</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对民间非营利组织和群众性自治组织补贴</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1259"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766"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58"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90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1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33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39999</w:t>
            </w:r>
          </w:p>
        </w:tc>
        <w:tc>
          <w:tcPr>
            <w:tcW w:w="1452" w:type="dxa"/>
            <w:tcBorders>
              <w:top w:val="nil"/>
              <w:left w:val="nil"/>
              <w:bottom w:val="single" w:color="000000" w:sz="4" w:space="0"/>
              <w:right w:val="single" w:color="000000" w:sz="4" w:space="0"/>
            </w:tcBorders>
            <w:shd w:val="clear" w:color="FFFFFF" w:fill="C0C0C0"/>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其他支出</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664" w:hRule="atLeast"/>
        </w:trPr>
        <w:tc>
          <w:tcPr>
            <w:tcW w:w="3025" w:type="dxa"/>
            <w:gridSpan w:val="2"/>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人员经费合计</w:t>
            </w:r>
          </w:p>
        </w:tc>
        <w:tc>
          <w:tcPr>
            <w:tcW w:w="19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1,020,799.78</w:t>
            </w:r>
          </w:p>
        </w:tc>
        <w:tc>
          <w:tcPr>
            <w:tcW w:w="7565" w:type="dxa"/>
            <w:gridSpan w:val="5"/>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公用支出合计</w:t>
            </w:r>
          </w:p>
        </w:tc>
        <w:tc>
          <w:tcPr>
            <w:tcW w:w="17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111,906.66</w:t>
            </w:r>
          </w:p>
        </w:tc>
      </w:tr>
      <w:tr>
        <w:tblPrEx>
          <w:tblCellMar>
            <w:top w:w="0" w:type="dxa"/>
            <w:left w:w="108" w:type="dxa"/>
            <w:bottom w:w="0" w:type="dxa"/>
            <w:right w:w="108" w:type="dxa"/>
          </w:tblCellMar>
        </w:tblPrEx>
        <w:trPr>
          <w:trHeight w:val="308" w:hRule="atLeast"/>
        </w:trPr>
        <w:tc>
          <w:tcPr>
            <w:tcW w:w="14280" w:type="dxa"/>
            <w:gridSpan w:val="9"/>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注：本表反映部门本年度一般公共预算财政拨款基本支出明细情况。</w:t>
            </w:r>
          </w:p>
        </w:tc>
      </w:tr>
    </w:tbl>
    <w:p>
      <w:pPr>
        <w:spacing w:line="580" w:lineRule="exact"/>
        <w:rPr>
          <w:rFonts w:hint="eastAsia" w:ascii="仿宋_GB2312" w:hAnsi="仿宋" w:eastAsia="仿宋_GB2312" w:cs="仿宋_GB2312"/>
          <w:b/>
          <w:bCs/>
          <w:kern w:val="1"/>
          <w:sz w:val="36"/>
          <w:szCs w:val="36"/>
        </w:rPr>
      </w:pPr>
    </w:p>
    <w:tbl>
      <w:tblPr>
        <w:tblStyle w:val="5"/>
        <w:tblW w:w="14091" w:type="dxa"/>
        <w:tblInd w:w="93" w:type="dxa"/>
        <w:tblLayout w:type="autofit"/>
        <w:tblCellMar>
          <w:top w:w="0" w:type="dxa"/>
          <w:left w:w="108" w:type="dxa"/>
          <w:bottom w:w="0" w:type="dxa"/>
          <w:right w:w="108" w:type="dxa"/>
        </w:tblCellMar>
      </w:tblPr>
      <w:tblGrid>
        <w:gridCol w:w="583"/>
        <w:gridCol w:w="583"/>
        <w:gridCol w:w="583"/>
        <w:gridCol w:w="2120"/>
        <w:gridCol w:w="2531"/>
        <w:gridCol w:w="1467"/>
        <w:gridCol w:w="758"/>
        <w:gridCol w:w="1467"/>
        <w:gridCol w:w="1467"/>
        <w:gridCol w:w="2532"/>
      </w:tblGrid>
      <w:tr>
        <w:tblPrEx>
          <w:tblCellMar>
            <w:top w:w="0" w:type="dxa"/>
            <w:left w:w="108" w:type="dxa"/>
            <w:bottom w:w="0" w:type="dxa"/>
            <w:right w:w="108" w:type="dxa"/>
          </w:tblCellMar>
        </w:tblPrEx>
        <w:trPr>
          <w:trHeight w:val="526" w:hRule="atLeast"/>
        </w:trPr>
        <w:tc>
          <w:tcPr>
            <w:tcW w:w="14091" w:type="dxa"/>
            <w:gridSpan w:val="10"/>
            <w:tcBorders>
              <w:top w:val="nil"/>
              <w:left w:val="nil"/>
              <w:bottom w:val="nil"/>
              <w:right w:val="nil"/>
            </w:tcBorders>
            <w:shd w:val="clear" w:color="auto" w:fill="auto"/>
            <w:noWrap/>
            <w:vAlign w:val="bottom"/>
          </w:tcPr>
          <w:p>
            <w:pPr>
              <w:widowControl/>
              <w:jc w:val="center"/>
              <w:rPr>
                <w:rFonts w:hint="eastAsia" w:ascii="宋体" w:hAnsi="宋体" w:cs="Arial"/>
                <w:color w:val="000000"/>
                <w:kern w:val="0"/>
                <w:sz w:val="44"/>
                <w:szCs w:val="44"/>
              </w:rPr>
            </w:pPr>
          </w:p>
          <w:p>
            <w:pPr>
              <w:widowControl/>
              <w:jc w:val="center"/>
              <w:rPr>
                <w:rFonts w:hint="eastAsia" w:ascii="宋体" w:hAnsi="宋体" w:cs="Arial"/>
                <w:color w:val="000000"/>
                <w:kern w:val="0"/>
                <w:sz w:val="44"/>
                <w:szCs w:val="44"/>
              </w:rPr>
            </w:pPr>
          </w:p>
          <w:p>
            <w:pPr>
              <w:widowControl/>
              <w:jc w:val="center"/>
              <w:rPr>
                <w:rFonts w:hint="eastAsia" w:ascii="宋体" w:hAnsi="宋体" w:cs="Arial"/>
                <w:color w:val="000000"/>
                <w:kern w:val="0"/>
                <w:sz w:val="44"/>
                <w:szCs w:val="44"/>
              </w:rPr>
            </w:pPr>
          </w:p>
          <w:p>
            <w:pPr>
              <w:widowControl/>
              <w:jc w:val="center"/>
              <w:rPr>
                <w:rFonts w:hint="eastAsia" w:ascii="宋体" w:hAnsi="宋体" w:cs="Arial"/>
                <w:color w:val="000000"/>
                <w:kern w:val="0"/>
                <w:sz w:val="44"/>
                <w:szCs w:val="44"/>
              </w:rPr>
            </w:pPr>
          </w:p>
          <w:p>
            <w:pPr>
              <w:widowControl/>
              <w:jc w:val="center"/>
              <w:rPr>
                <w:rFonts w:hint="eastAsia" w:ascii="宋体" w:hAnsi="宋体" w:cs="Arial"/>
                <w:color w:val="000000"/>
                <w:kern w:val="0"/>
                <w:sz w:val="44"/>
                <w:szCs w:val="44"/>
              </w:rPr>
            </w:pPr>
          </w:p>
          <w:p>
            <w:pPr>
              <w:widowControl/>
              <w:jc w:val="center"/>
              <w:rPr>
                <w:rFonts w:hint="eastAsia" w:ascii="宋体" w:hAnsi="宋体" w:cs="Arial"/>
                <w:color w:val="000000"/>
                <w:kern w:val="0"/>
                <w:sz w:val="44"/>
                <w:szCs w:val="44"/>
              </w:rPr>
            </w:pPr>
          </w:p>
          <w:p>
            <w:pPr>
              <w:widowControl/>
              <w:jc w:val="center"/>
              <w:rPr>
                <w:rFonts w:ascii="宋体" w:hAnsi="宋体" w:cs="Arial"/>
                <w:color w:val="000000"/>
                <w:kern w:val="0"/>
                <w:sz w:val="44"/>
                <w:szCs w:val="44"/>
              </w:rPr>
            </w:pPr>
            <w:r>
              <w:rPr>
                <w:rFonts w:hint="eastAsia" w:ascii="宋体" w:hAnsi="宋体" w:cs="Arial"/>
                <w:color w:val="000000"/>
                <w:kern w:val="0"/>
                <w:sz w:val="44"/>
                <w:szCs w:val="44"/>
              </w:rPr>
              <w:t>政府性基金预算财政拨款收入支出决算表</w:t>
            </w:r>
          </w:p>
        </w:tc>
      </w:tr>
      <w:tr>
        <w:tblPrEx>
          <w:tblCellMar>
            <w:top w:w="0" w:type="dxa"/>
            <w:left w:w="108" w:type="dxa"/>
            <w:bottom w:w="0" w:type="dxa"/>
            <w:right w:w="108" w:type="dxa"/>
          </w:tblCellMar>
        </w:tblPrEx>
        <w:trPr>
          <w:trHeight w:val="248" w:hRule="atLeast"/>
        </w:trPr>
        <w:tc>
          <w:tcPr>
            <w:tcW w:w="583"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583"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583"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2120"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2531"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467"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758"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467"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467"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2532"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金额单位：元</w:t>
            </w:r>
          </w:p>
        </w:tc>
      </w:tr>
      <w:tr>
        <w:tblPrEx>
          <w:tblCellMar>
            <w:top w:w="0" w:type="dxa"/>
            <w:left w:w="108" w:type="dxa"/>
            <w:bottom w:w="0" w:type="dxa"/>
            <w:right w:w="108" w:type="dxa"/>
          </w:tblCellMar>
        </w:tblPrEx>
        <w:trPr>
          <w:trHeight w:val="248" w:hRule="atLeast"/>
        </w:trPr>
        <w:tc>
          <w:tcPr>
            <w:tcW w:w="6400" w:type="dxa"/>
            <w:gridSpan w:val="5"/>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r>
              <w:rPr>
                <w:rFonts w:hint="eastAsia" w:ascii="宋体" w:hAnsi="宋体" w:cs="Arial"/>
                <w:color w:val="000000"/>
                <w:kern w:val="0"/>
                <w:sz w:val="20"/>
                <w:szCs w:val="20"/>
              </w:rPr>
              <w:t>编制单位：庐山市轻化建材行业管理办公室</w:t>
            </w:r>
          </w:p>
        </w:tc>
        <w:tc>
          <w:tcPr>
            <w:tcW w:w="1467" w:type="dxa"/>
            <w:tcBorders>
              <w:top w:val="nil"/>
              <w:left w:val="nil"/>
              <w:bottom w:val="nil"/>
              <w:right w:val="nil"/>
            </w:tcBorders>
            <w:shd w:val="clear" w:color="auto" w:fill="auto"/>
            <w:noWrap/>
            <w:vAlign w:val="bottom"/>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2019年度</w:t>
            </w:r>
          </w:p>
        </w:tc>
        <w:tc>
          <w:tcPr>
            <w:tcW w:w="758"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467"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467"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2532"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公开08表</w:t>
            </w:r>
          </w:p>
        </w:tc>
      </w:tr>
      <w:tr>
        <w:tblPrEx>
          <w:tblCellMar>
            <w:top w:w="0" w:type="dxa"/>
            <w:left w:w="108" w:type="dxa"/>
            <w:bottom w:w="0" w:type="dxa"/>
            <w:right w:w="108" w:type="dxa"/>
          </w:tblCellMar>
        </w:tblPrEx>
        <w:trPr>
          <w:trHeight w:val="300" w:hRule="atLeast"/>
        </w:trPr>
        <w:tc>
          <w:tcPr>
            <w:tcW w:w="3869" w:type="dxa"/>
            <w:gridSpan w:val="4"/>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    目</w:t>
            </w:r>
          </w:p>
        </w:tc>
        <w:tc>
          <w:tcPr>
            <w:tcW w:w="2531" w:type="dxa"/>
            <w:vMerge w:val="restart"/>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年初结转和结余</w:t>
            </w:r>
          </w:p>
        </w:tc>
        <w:tc>
          <w:tcPr>
            <w:tcW w:w="1467" w:type="dxa"/>
            <w:vMerge w:val="restart"/>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本年收入</w:t>
            </w:r>
          </w:p>
        </w:tc>
        <w:tc>
          <w:tcPr>
            <w:tcW w:w="3692" w:type="dxa"/>
            <w:gridSpan w:val="3"/>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本年支出</w:t>
            </w:r>
          </w:p>
        </w:tc>
        <w:tc>
          <w:tcPr>
            <w:tcW w:w="2532" w:type="dxa"/>
            <w:vMerge w:val="restart"/>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年末结转和结余</w:t>
            </w:r>
          </w:p>
        </w:tc>
      </w:tr>
      <w:tr>
        <w:tblPrEx>
          <w:tblCellMar>
            <w:top w:w="0" w:type="dxa"/>
            <w:left w:w="108" w:type="dxa"/>
            <w:bottom w:w="0" w:type="dxa"/>
            <w:right w:w="108" w:type="dxa"/>
          </w:tblCellMar>
        </w:tblPrEx>
        <w:trPr>
          <w:trHeight w:val="312" w:hRule="atLeast"/>
        </w:trPr>
        <w:tc>
          <w:tcPr>
            <w:tcW w:w="1749" w:type="dxa"/>
            <w:gridSpan w:val="3"/>
            <w:vMerge w:val="restart"/>
            <w:tcBorders>
              <w:top w:val="nil"/>
              <w:left w:val="single" w:color="000000" w:sz="4" w:space="0"/>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支出功能分类科目编码</w:t>
            </w:r>
          </w:p>
        </w:tc>
        <w:tc>
          <w:tcPr>
            <w:tcW w:w="2120"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2531"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67"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758"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小计</w:t>
            </w:r>
          </w:p>
        </w:tc>
        <w:tc>
          <w:tcPr>
            <w:tcW w:w="1467"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基本支出</w:t>
            </w:r>
          </w:p>
        </w:tc>
        <w:tc>
          <w:tcPr>
            <w:tcW w:w="1467"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项目支出</w:t>
            </w:r>
          </w:p>
        </w:tc>
        <w:tc>
          <w:tcPr>
            <w:tcW w:w="2532"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12" w:hRule="atLeast"/>
        </w:trPr>
        <w:tc>
          <w:tcPr>
            <w:tcW w:w="1749"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120"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531"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67"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758"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67"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67"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532"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12" w:hRule="atLeast"/>
        </w:trPr>
        <w:tc>
          <w:tcPr>
            <w:tcW w:w="1749"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120"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531"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67"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758"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67"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67"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532"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00" w:hRule="atLeast"/>
        </w:trPr>
        <w:tc>
          <w:tcPr>
            <w:tcW w:w="583" w:type="dxa"/>
            <w:vMerge w:val="restart"/>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类</w:t>
            </w:r>
          </w:p>
        </w:tc>
        <w:tc>
          <w:tcPr>
            <w:tcW w:w="583"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款</w:t>
            </w:r>
          </w:p>
        </w:tc>
        <w:tc>
          <w:tcPr>
            <w:tcW w:w="583"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w:t>
            </w:r>
          </w:p>
        </w:tc>
        <w:tc>
          <w:tcPr>
            <w:tcW w:w="21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2531"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146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758"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146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146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w:t>
            </w:r>
          </w:p>
        </w:tc>
        <w:tc>
          <w:tcPr>
            <w:tcW w:w="2532"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w:t>
            </w:r>
          </w:p>
        </w:tc>
      </w:tr>
      <w:tr>
        <w:tblPrEx>
          <w:tblCellMar>
            <w:top w:w="0" w:type="dxa"/>
            <w:left w:w="108" w:type="dxa"/>
            <w:bottom w:w="0" w:type="dxa"/>
            <w:right w:w="108" w:type="dxa"/>
          </w:tblCellMar>
        </w:tblPrEx>
        <w:trPr>
          <w:trHeight w:val="300" w:hRule="atLeast"/>
        </w:trPr>
        <w:tc>
          <w:tcPr>
            <w:tcW w:w="583"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583"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583"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1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25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5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53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0" w:hRule="atLeast"/>
        </w:trPr>
        <w:tc>
          <w:tcPr>
            <w:tcW w:w="174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12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5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53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0" w:hRule="atLeast"/>
        </w:trPr>
        <w:tc>
          <w:tcPr>
            <w:tcW w:w="174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12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5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53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0" w:hRule="atLeast"/>
        </w:trPr>
        <w:tc>
          <w:tcPr>
            <w:tcW w:w="174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12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5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53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0" w:hRule="atLeast"/>
        </w:trPr>
        <w:tc>
          <w:tcPr>
            <w:tcW w:w="174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12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5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53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0" w:hRule="atLeast"/>
        </w:trPr>
        <w:tc>
          <w:tcPr>
            <w:tcW w:w="174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12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5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53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0" w:hRule="atLeast"/>
        </w:trPr>
        <w:tc>
          <w:tcPr>
            <w:tcW w:w="174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12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3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5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53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0" w:hRule="atLeast"/>
        </w:trPr>
        <w:tc>
          <w:tcPr>
            <w:tcW w:w="14091" w:type="dxa"/>
            <w:gridSpan w:val="10"/>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注：本表反映部门本年度政府性基金预算财政拨款收入、支出及结转和结余情况。</w:t>
            </w:r>
          </w:p>
        </w:tc>
      </w:tr>
    </w:tbl>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p>
      <w:pPr>
        <w:spacing w:line="580" w:lineRule="exact"/>
        <w:rPr>
          <w:rFonts w:hint="eastAsia" w:ascii="仿宋_GB2312" w:hAnsi="仿宋" w:eastAsia="仿宋_GB2312" w:cs="仿宋_GB2312"/>
          <w:b/>
          <w:bCs/>
          <w:kern w:val="1"/>
          <w:sz w:val="36"/>
          <w:szCs w:val="36"/>
        </w:rPr>
      </w:pPr>
    </w:p>
    <w:tbl>
      <w:tblPr>
        <w:tblStyle w:val="5"/>
        <w:tblpPr w:leftFromText="180" w:rightFromText="180" w:vertAnchor="text" w:horzAnchor="margin" w:tblpY="-1595"/>
        <w:tblW w:w="13888" w:type="dxa"/>
        <w:tblInd w:w="0" w:type="dxa"/>
        <w:tblLayout w:type="autofit"/>
        <w:tblCellMar>
          <w:top w:w="0" w:type="dxa"/>
          <w:left w:w="108" w:type="dxa"/>
          <w:bottom w:w="0" w:type="dxa"/>
          <w:right w:w="108" w:type="dxa"/>
        </w:tblCellMar>
      </w:tblPr>
      <w:tblGrid>
        <w:gridCol w:w="8028"/>
        <w:gridCol w:w="1526"/>
        <w:gridCol w:w="1960"/>
        <w:gridCol w:w="2134"/>
        <w:gridCol w:w="227"/>
        <w:gridCol w:w="13"/>
      </w:tblGrid>
      <w:tr>
        <w:tblPrEx>
          <w:tblCellMar>
            <w:top w:w="0" w:type="dxa"/>
            <w:left w:w="108" w:type="dxa"/>
            <w:bottom w:w="0" w:type="dxa"/>
            <w:right w:w="108" w:type="dxa"/>
          </w:tblCellMar>
        </w:tblPrEx>
        <w:trPr>
          <w:gridAfter w:val="1"/>
          <w:wAfter w:w="13" w:type="dxa"/>
          <w:trHeight w:val="502" w:hRule="atLeast"/>
        </w:trPr>
        <w:tc>
          <w:tcPr>
            <w:tcW w:w="13875" w:type="dxa"/>
            <w:gridSpan w:val="5"/>
            <w:tcBorders>
              <w:top w:val="nil"/>
              <w:left w:val="nil"/>
              <w:bottom w:val="nil"/>
              <w:right w:val="nil"/>
            </w:tcBorders>
            <w:shd w:val="clear" w:color="auto" w:fill="auto"/>
            <w:noWrap/>
            <w:vAlign w:val="bottom"/>
          </w:tcPr>
          <w:p>
            <w:pPr>
              <w:widowControl/>
              <w:jc w:val="center"/>
              <w:rPr>
                <w:rFonts w:hint="eastAsia" w:ascii="宋体" w:hAnsi="宋体" w:cs="Arial"/>
                <w:color w:val="000000"/>
                <w:kern w:val="0"/>
                <w:sz w:val="44"/>
                <w:szCs w:val="44"/>
              </w:rPr>
            </w:pPr>
          </w:p>
          <w:p>
            <w:pPr>
              <w:widowControl/>
              <w:jc w:val="center"/>
              <w:rPr>
                <w:rFonts w:ascii="宋体" w:hAnsi="宋体" w:cs="Arial"/>
                <w:color w:val="000000"/>
                <w:kern w:val="0"/>
                <w:sz w:val="44"/>
                <w:szCs w:val="44"/>
              </w:rPr>
            </w:pPr>
            <w:r>
              <w:rPr>
                <w:rFonts w:hint="eastAsia" w:ascii="宋体" w:hAnsi="宋体" w:cs="Arial"/>
                <w:color w:val="000000"/>
                <w:kern w:val="0"/>
                <w:sz w:val="44"/>
                <w:szCs w:val="44"/>
              </w:rPr>
              <w:t>一般公共预算财政拨款“三公”经费支出决算表</w:t>
            </w:r>
          </w:p>
        </w:tc>
      </w:tr>
      <w:tr>
        <w:tblPrEx>
          <w:tblCellMar>
            <w:top w:w="0" w:type="dxa"/>
            <w:left w:w="108" w:type="dxa"/>
            <w:bottom w:w="0" w:type="dxa"/>
            <w:right w:w="108" w:type="dxa"/>
          </w:tblCellMar>
        </w:tblPrEx>
        <w:trPr>
          <w:trHeight w:val="236" w:hRule="atLeast"/>
        </w:trPr>
        <w:tc>
          <w:tcPr>
            <w:tcW w:w="8028"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526"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1960"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2134"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金额单位：元</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196" w:hRule="atLeast"/>
        </w:trPr>
        <w:tc>
          <w:tcPr>
            <w:tcW w:w="8028" w:type="dxa"/>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编制单位：庐山市轻化建材行业管理办公室</w:t>
            </w:r>
            <w:bookmarkStart w:id="0" w:name="_GoBack"/>
            <w:bookmarkEnd w:id="0"/>
          </w:p>
        </w:tc>
        <w:tc>
          <w:tcPr>
            <w:tcW w:w="1526" w:type="dxa"/>
            <w:tcBorders>
              <w:top w:val="nil"/>
              <w:left w:val="nil"/>
              <w:bottom w:val="nil"/>
              <w:right w:val="nil"/>
            </w:tcBorders>
            <w:shd w:val="clear" w:color="auto" w:fill="auto"/>
            <w:noWrap/>
            <w:vAlign w:val="bottom"/>
          </w:tcPr>
          <w:p>
            <w:pPr>
              <w:widowControl/>
              <w:rPr>
                <w:rFonts w:ascii="宋体" w:hAnsi="宋体" w:cs="Arial"/>
                <w:color w:val="000000"/>
                <w:kern w:val="0"/>
                <w:sz w:val="20"/>
                <w:szCs w:val="20"/>
              </w:rPr>
            </w:pPr>
            <w:r>
              <w:rPr>
                <w:rFonts w:hint="eastAsia" w:ascii="宋体" w:hAnsi="宋体" w:cs="Arial"/>
                <w:color w:val="000000"/>
                <w:kern w:val="0"/>
                <w:sz w:val="20"/>
                <w:szCs w:val="20"/>
              </w:rPr>
              <w:t>2019年度</w:t>
            </w:r>
          </w:p>
        </w:tc>
        <w:tc>
          <w:tcPr>
            <w:tcW w:w="1960"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2134"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公开07表</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86" w:hRule="atLeast"/>
        </w:trPr>
        <w:tc>
          <w:tcPr>
            <w:tcW w:w="8028"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项目</w:t>
            </w:r>
          </w:p>
        </w:tc>
        <w:tc>
          <w:tcPr>
            <w:tcW w:w="1526" w:type="dxa"/>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栏次</w:t>
            </w:r>
          </w:p>
        </w:tc>
        <w:tc>
          <w:tcPr>
            <w:tcW w:w="1960" w:type="dxa"/>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年初预算数</w:t>
            </w:r>
          </w:p>
        </w:tc>
        <w:tc>
          <w:tcPr>
            <w:tcW w:w="2134" w:type="dxa"/>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决算数</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86"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行次</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1960"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1</w:t>
            </w:r>
          </w:p>
        </w:tc>
        <w:tc>
          <w:tcPr>
            <w:tcW w:w="2134"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2</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27"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一、“三公”经费支出</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1</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86"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xml:space="preserve">  1.因公出国（境）费</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2</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86"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xml:space="preserve">  2.公务用车购置及运行维护费</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3</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86"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xml:space="preserve">    （1）公务用车购置费</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4</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86"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xml:space="preserve">    （2）公务用车运行维护费</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5</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86"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xml:space="preserve">  3.公务接待费</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6</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86"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xml:space="preserve">    （1）国内接待费</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7</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86"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xml:space="preserve">         其中：外事接待费</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8</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07"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xml:space="preserve">    （2）国（境）外接待费</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9</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171"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二、相关统计数</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10</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86"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xml:space="preserve">  1.因公出国（境）团组数（个）</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11</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86"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xml:space="preserve">  2.因公出国（境）人次数（人）</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12</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86"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xml:space="preserve">  3.公务用车购置数（辆）</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13</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86"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xml:space="preserve">  4.公务用车保有量（辆）</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14</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86"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xml:space="preserve">  5.国内公务接待批次（个）</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15</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86"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xml:space="preserve">    其中：外事接待批次（个）</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16</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86"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xml:space="preserve">  6.国内公务接待人次（人）</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17</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86"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xml:space="preserve">    其中：外事接待人次（人）</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18</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36"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xml:space="preserve">  7.国（境）外公务接待批次（个）</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19</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86" w:hRule="atLeast"/>
        </w:trPr>
        <w:tc>
          <w:tcPr>
            <w:tcW w:w="8028"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xml:space="preserve">  8.国（境）外公务接待人次（人）</w:t>
            </w:r>
          </w:p>
        </w:tc>
        <w:tc>
          <w:tcPr>
            <w:tcW w:w="1526" w:type="dxa"/>
            <w:tcBorders>
              <w:top w:val="nil"/>
              <w:left w:val="nil"/>
              <w:bottom w:val="single" w:color="000000" w:sz="4" w:space="0"/>
              <w:right w:val="single" w:color="000000" w:sz="4" w:space="0"/>
            </w:tcBorders>
            <w:shd w:val="clear" w:color="FFFFFF" w:fill="C0C0C0"/>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20</w:t>
            </w:r>
          </w:p>
        </w:tc>
        <w:tc>
          <w:tcPr>
            <w:tcW w:w="1960" w:type="dxa"/>
            <w:tcBorders>
              <w:top w:val="nil"/>
              <w:left w:val="nil"/>
              <w:bottom w:val="single" w:color="000000" w:sz="4" w:space="0"/>
              <w:right w:val="single" w:color="000000" w:sz="4" w:space="0"/>
            </w:tcBorders>
            <w:shd w:val="clear" w:color="auto" w:fill="auto"/>
            <w:noWrap/>
            <w:vAlign w:val="center"/>
          </w:tcPr>
          <w:p>
            <w:pPr>
              <w:widowControl/>
              <w:jc w:val="center"/>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w:t>
            </w:r>
          </w:p>
        </w:tc>
        <w:tc>
          <w:tcPr>
            <w:tcW w:w="2134" w:type="dxa"/>
            <w:tcBorders>
              <w:top w:val="nil"/>
              <w:left w:val="nil"/>
              <w:bottom w:val="single" w:color="000000" w:sz="4" w:space="0"/>
              <w:right w:val="single" w:color="000000" w:sz="4" w:space="0"/>
            </w:tcBorders>
            <w:shd w:val="clear" w:color="auto" w:fill="auto"/>
            <w:noWrap/>
            <w:vAlign w:val="center"/>
          </w:tcPr>
          <w:p>
            <w:pPr>
              <w:widowControl/>
              <w:jc w:val="right"/>
              <w:rPr>
                <w:rFonts w:cs="Arial" w:asciiTheme="majorEastAsia" w:hAnsiTheme="majorEastAsia" w:eastAsiaTheme="majorEastAsia"/>
                <w:color w:val="000000"/>
                <w:kern w:val="0"/>
                <w:sz w:val="18"/>
                <w:szCs w:val="18"/>
              </w:rPr>
            </w:pPr>
            <w:r>
              <w:rPr>
                <w:rFonts w:hint="eastAsia" w:cs="Arial" w:asciiTheme="majorEastAsia" w:hAnsiTheme="majorEastAsia" w:eastAsiaTheme="majorEastAsia"/>
                <w:color w:val="000000"/>
                <w:kern w:val="0"/>
                <w:sz w:val="18"/>
                <w:szCs w:val="18"/>
              </w:rPr>
              <w:t>　</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86" w:hRule="atLeast"/>
        </w:trPr>
        <w:tc>
          <w:tcPr>
            <w:tcW w:w="13647" w:type="dxa"/>
            <w:gridSpan w:val="4"/>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注：本表反映部门本年度“三公”经费支出预决算情况。其中：预算数为批复的年初预算数，不包含以前年度结转的资金；决算数是包括当年一般公共预算财政拨款和以前年度结转资金安排的实际支出。</w:t>
            </w: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484" w:hRule="atLeast"/>
        </w:trPr>
        <w:tc>
          <w:tcPr>
            <w:tcW w:w="13647" w:type="dxa"/>
            <w:gridSpan w:val="4"/>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40" w:type="dxa"/>
            <w:gridSpan w:val="2"/>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r>
    </w:tbl>
    <w:p>
      <w:pPr>
        <w:spacing w:line="580" w:lineRule="exact"/>
        <w:rPr>
          <w:rFonts w:hint="eastAsia" w:ascii="仿宋_GB2312" w:hAnsi="仿宋" w:eastAsia="仿宋_GB2312" w:cs="仿宋_GB2312"/>
          <w:b/>
          <w:bCs/>
          <w:kern w:val="1"/>
          <w:sz w:val="36"/>
          <w:szCs w:val="36"/>
        </w:rPr>
      </w:pPr>
    </w:p>
    <w:tbl>
      <w:tblPr>
        <w:tblStyle w:val="5"/>
        <w:tblpPr w:leftFromText="180" w:rightFromText="180" w:vertAnchor="text" w:horzAnchor="margin" w:tblpY="214"/>
        <w:tblW w:w="14056" w:type="dxa"/>
        <w:tblInd w:w="0" w:type="dxa"/>
        <w:tblLayout w:type="autofit"/>
        <w:tblCellMar>
          <w:top w:w="0" w:type="dxa"/>
          <w:left w:w="108" w:type="dxa"/>
          <w:bottom w:w="0" w:type="dxa"/>
          <w:right w:w="108" w:type="dxa"/>
        </w:tblCellMar>
      </w:tblPr>
      <w:tblGrid>
        <w:gridCol w:w="9275"/>
        <w:gridCol w:w="1570"/>
        <w:gridCol w:w="3211"/>
      </w:tblGrid>
      <w:tr>
        <w:tblPrEx>
          <w:tblCellMar>
            <w:top w:w="0" w:type="dxa"/>
            <w:left w:w="108" w:type="dxa"/>
            <w:bottom w:w="0" w:type="dxa"/>
            <w:right w:w="108" w:type="dxa"/>
          </w:tblCellMar>
        </w:tblPrEx>
        <w:trPr>
          <w:trHeight w:val="444" w:hRule="atLeast"/>
        </w:trPr>
        <w:tc>
          <w:tcPr>
            <w:tcW w:w="14056" w:type="dxa"/>
            <w:gridSpan w:val="3"/>
            <w:tcBorders>
              <w:top w:val="nil"/>
              <w:left w:val="nil"/>
              <w:bottom w:val="nil"/>
            </w:tcBorders>
            <w:shd w:val="clear" w:color="auto" w:fill="auto"/>
            <w:noWrap/>
            <w:vAlign w:val="bottom"/>
          </w:tcPr>
          <w:p>
            <w:pPr>
              <w:widowControl/>
              <w:jc w:val="center"/>
              <w:rPr>
                <w:rFonts w:ascii="Arial" w:hAnsi="Arial" w:cs="Arial"/>
                <w:color w:val="000000"/>
                <w:kern w:val="0"/>
                <w:sz w:val="20"/>
                <w:szCs w:val="20"/>
              </w:rPr>
            </w:pPr>
            <w:r>
              <w:rPr>
                <w:rFonts w:hint="eastAsia" w:ascii="宋体" w:hAnsi="宋体" w:cs="Arial"/>
                <w:color w:val="000000"/>
                <w:kern w:val="0"/>
                <w:sz w:val="44"/>
                <w:szCs w:val="44"/>
              </w:rPr>
              <w:t>国有资产占用情况表</w:t>
            </w:r>
          </w:p>
        </w:tc>
      </w:tr>
      <w:tr>
        <w:tblPrEx>
          <w:tblCellMar>
            <w:top w:w="0" w:type="dxa"/>
            <w:left w:w="108" w:type="dxa"/>
            <w:bottom w:w="0" w:type="dxa"/>
            <w:right w:w="108" w:type="dxa"/>
          </w:tblCellMar>
        </w:tblPrEx>
        <w:trPr>
          <w:trHeight w:val="209" w:hRule="atLeast"/>
        </w:trPr>
        <w:tc>
          <w:tcPr>
            <w:tcW w:w="9275" w:type="dxa"/>
            <w:tcBorders>
              <w:top w:val="nil"/>
              <w:left w:val="nil"/>
              <w:bottom w:val="nil"/>
              <w:right w:val="nil"/>
            </w:tcBorders>
            <w:shd w:val="clear" w:color="auto" w:fill="auto"/>
            <w:noWrap/>
            <w:vAlign w:val="bottom"/>
          </w:tcPr>
          <w:p>
            <w:pPr>
              <w:widowControl/>
              <w:jc w:val="center"/>
              <w:rPr>
                <w:rFonts w:ascii="Arial" w:hAnsi="Arial" w:cs="Arial"/>
                <w:color w:val="000000"/>
                <w:kern w:val="0"/>
                <w:sz w:val="20"/>
                <w:szCs w:val="20"/>
              </w:rPr>
            </w:pPr>
          </w:p>
        </w:tc>
        <w:tc>
          <w:tcPr>
            <w:tcW w:w="1570" w:type="dxa"/>
            <w:tcBorders>
              <w:top w:val="nil"/>
              <w:left w:val="nil"/>
              <w:bottom w:val="nil"/>
              <w:right w:val="nil"/>
            </w:tcBorders>
            <w:shd w:val="clear" w:color="auto" w:fill="auto"/>
            <w:noWrap/>
            <w:vAlign w:val="bottom"/>
          </w:tcPr>
          <w:p>
            <w:pPr>
              <w:widowControl/>
              <w:jc w:val="left"/>
              <w:rPr>
                <w:rFonts w:ascii="Arial" w:hAnsi="Arial" w:cs="Arial"/>
                <w:color w:val="000000"/>
                <w:kern w:val="0"/>
                <w:sz w:val="20"/>
                <w:szCs w:val="20"/>
              </w:rPr>
            </w:pPr>
          </w:p>
        </w:tc>
        <w:tc>
          <w:tcPr>
            <w:tcW w:w="3211"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单位：台、辆、套</w:t>
            </w:r>
          </w:p>
        </w:tc>
      </w:tr>
      <w:tr>
        <w:tblPrEx>
          <w:tblCellMar>
            <w:top w:w="0" w:type="dxa"/>
            <w:left w:w="108" w:type="dxa"/>
            <w:bottom w:w="0" w:type="dxa"/>
            <w:right w:w="108" w:type="dxa"/>
          </w:tblCellMar>
        </w:tblPrEx>
        <w:trPr>
          <w:trHeight w:val="209" w:hRule="atLeast"/>
        </w:trPr>
        <w:tc>
          <w:tcPr>
            <w:tcW w:w="9275" w:type="dxa"/>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编制单位：庐山市轻化建材行业管理办公室</w:t>
            </w:r>
          </w:p>
        </w:tc>
        <w:tc>
          <w:tcPr>
            <w:tcW w:w="1570" w:type="dxa"/>
            <w:tcBorders>
              <w:top w:val="nil"/>
              <w:left w:val="nil"/>
              <w:bottom w:val="nil"/>
              <w:right w:val="nil"/>
            </w:tcBorders>
            <w:shd w:val="clear" w:color="auto" w:fill="auto"/>
            <w:noWrap/>
            <w:vAlign w:val="bottom"/>
          </w:tcPr>
          <w:p>
            <w:pPr>
              <w:widowControl/>
              <w:rPr>
                <w:rFonts w:ascii="宋体" w:hAnsi="宋体" w:cs="Arial"/>
                <w:color w:val="000000"/>
                <w:kern w:val="0"/>
                <w:sz w:val="20"/>
                <w:szCs w:val="20"/>
              </w:rPr>
            </w:pPr>
            <w:r>
              <w:rPr>
                <w:rFonts w:hint="eastAsia" w:ascii="宋体" w:hAnsi="宋体" w:cs="Arial"/>
                <w:color w:val="000000"/>
                <w:kern w:val="0"/>
                <w:sz w:val="20"/>
                <w:szCs w:val="20"/>
              </w:rPr>
              <w:t>2019年度</w:t>
            </w:r>
          </w:p>
        </w:tc>
        <w:tc>
          <w:tcPr>
            <w:tcW w:w="3211"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公开09表</w:t>
            </w:r>
          </w:p>
        </w:tc>
      </w:tr>
      <w:tr>
        <w:tblPrEx>
          <w:tblCellMar>
            <w:top w:w="0" w:type="dxa"/>
            <w:left w:w="108" w:type="dxa"/>
            <w:bottom w:w="0" w:type="dxa"/>
            <w:right w:w="108" w:type="dxa"/>
          </w:tblCellMar>
        </w:tblPrEx>
        <w:trPr>
          <w:trHeight w:val="252" w:hRule="atLeast"/>
        </w:trPr>
        <w:tc>
          <w:tcPr>
            <w:tcW w:w="9275"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项  目</w:t>
            </w:r>
          </w:p>
        </w:tc>
        <w:tc>
          <w:tcPr>
            <w:tcW w:w="1570" w:type="dxa"/>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3211" w:type="dxa"/>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决算数</w:t>
            </w:r>
          </w:p>
        </w:tc>
      </w:tr>
      <w:tr>
        <w:tblPrEx>
          <w:tblCellMar>
            <w:top w:w="0" w:type="dxa"/>
            <w:left w:w="108" w:type="dxa"/>
            <w:bottom w:w="0" w:type="dxa"/>
            <w:right w:w="108" w:type="dxa"/>
          </w:tblCellMar>
        </w:tblPrEx>
        <w:trPr>
          <w:trHeight w:val="252" w:hRule="atLeast"/>
        </w:trPr>
        <w:tc>
          <w:tcPr>
            <w:tcW w:w="927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一、车辆数合计(台、辆)</w:t>
            </w:r>
          </w:p>
        </w:tc>
        <w:tc>
          <w:tcPr>
            <w:tcW w:w="15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3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252" w:hRule="atLeast"/>
        </w:trPr>
        <w:tc>
          <w:tcPr>
            <w:tcW w:w="927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1.副部（省）级及以上领导用车</w:t>
            </w:r>
          </w:p>
        </w:tc>
        <w:tc>
          <w:tcPr>
            <w:tcW w:w="15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3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252" w:hRule="atLeast"/>
        </w:trPr>
        <w:tc>
          <w:tcPr>
            <w:tcW w:w="927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2.主要领导干部用车</w:t>
            </w:r>
          </w:p>
        </w:tc>
        <w:tc>
          <w:tcPr>
            <w:tcW w:w="15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3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252" w:hRule="atLeast"/>
        </w:trPr>
        <w:tc>
          <w:tcPr>
            <w:tcW w:w="927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3.机要通信用车</w:t>
            </w:r>
          </w:p>
        </w:tc>
        <w:tc>
          <w:tcPr>
            <w:tcW w:w="15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3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252" w:hRule="atLeast"/>
        </w:trPr>
        <w:tc>
          <w:tcPr>
            <w:tcW w:w="927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4.应急保障用车</w:t>
            </w:r>
          </w:p>
        </w:tc>
        <w:tc>
          <w:tcPr>
            <w:tcW w:w="15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w:t>
            </w:r>
          </w:p>
        </w:tc>
        <w:tc>
          <w:tcPr>
            <w:tcW w:w="3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252" w:hRule="atLeast"/>
        </w:trPr>
        <w:tc>
          <w:tcPr>
            <w:tcW w:w="927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5.执法执勤用车</w:t>
            </w:r>
          </w:p>
        </w:tc>
        <w:tc>
          <w:tcPr>
            <w:tcW w:w="15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w:t>
            </w:r>
          </w:p>
        </w:tc>
        <w:tc>
          <w:tcPr>
            <w:tcW w:w="3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252" w:hRule="atLeast"/>
        </w:trPr>
        <w:tc>
          <w:tcPr>
            <w:tcW w:w="927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6.特种专业技术用车</w:t>
            </w:r>
          </w:p>
        </w:tc>
        <w:tc>
          <w:tcPr>
            <w:tcW w:w="15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7</w:t>
            </w:r>
          </w:p>
        </w:tc>
        <w:tc>
          <w:tcPr>
            <w:tcW w:w="3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252" w:hRule="atLeast"/>
        </w:trPr>
        <w:tc>
          <w:tcPr>
            <w:tcW w:w="927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7.离退休干部用车</w:t>
            </w:r>
          </w:p>
        </w:tc>
        <w:tc>
          <w:tcPr>
            <w:tcW w:w="15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8</w:t>
            </w:r>
          </w:p>
        </w:tc>
        <w:tc>
          <w:tcPr>
            <w:tcW w:w="3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252" w:hRule="atLeast"/>
        </w:trPr>
        <w:tc>
          <w:tcPr>
            <w:tcW w:w="927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8.其他用车</w:t>
            </w:r>
          </w:p>
        </w:tc>
        <w:tc>
          <w:tcPr>
            <w:tcW w:w="15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9</w:t>
            </w:r>
          </w:p>
        </w:tc>
        <w:tc>
          <w:tcPr>
            <w:tcW w:w="3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252" w:hRule="atLeast"/>
        </w:trPr>
        <w:tc>
          <w:tcPr>
            <w:tcW w:w="927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二、单价50万元（含）以上通用设备（台，套）</w:t>
            </w:r>
          </w:p>
        </w:tc>
        <w:tc>
          <w:tcPr>
            <w:tcW w:w="15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10</w:t>
            </w:r>
          </w:p>
        </w:tc>
        <w:tc>
          <w:tcPr>
            <w:tcW w:w="3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252" w:hRule="atLeast"/>
        </w:trPr>
        <w:tc>
          <w:tcPr>
            <w:tcW w:w="927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三、单价100万元（含）以上专用设备（台，套）</w:t>
            </w:r>
          </w:p>
        </w:tc>
        <w:tc>
          <w:tcPr>
            <w:tcW w:w="157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11</w:t>
            </w:r>
          </w:p>
        </w:tc>
        <w:tc>
          <w:tcPr>
            <w:tcW w:w="3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bl>
    <w:p>
      <w:pPr>
        <w:spacing w:line="580" w:lineRule="exact"/>
        <w:rPr>
          <w:rFonts w:hint="eastAsia" w:ascii="仿宋_GB2312" w:hAnsi="仿宋" w:eastAsia="仿宋_GB2312" w:cs="仿宋_GB2312"/>
          <w:b/>
          <w:bCs/>
          <w:kern w:val="1"/>
          <w:sz w:val="36"/>
          <w:szCs w:val="36"/>
        </w:rPr>
        <w:sectPr>
          <w:pgSz w:w="16838" w:h="11906" w:orient="landscape"/>
          <w:pgMar w:top="1797" w:right="1440" w:bottom="1797" w:left="1440" w:header="851" w:footer="992" w:gutter="0"/>
          <w:cols w:space="720" w:num="1"/>
          <w:docGrid w:type="lines" w:linePitch="312" w:charSpace="0"/>
        </w:sectPr>
      </w:pPr>
    </w:p>
    <w:p>
      <w:pPr>
        <w:spacing w:line="580" w:lineRule="exact"/>
        <w:rPr>
          <w:rFonts w:ascii="仿宋_GB2312" w:hAnsi="仿宋" w:eastAsia="仿宋_GB2312" w:cs="仿宋_GB2312"/>
          <w:b/>
          <w:bCs/>
          <w:kern w:val="1"/>
          <w:sz w:val="36"/>
          <w:szCs w:val="36"/>
        </w:rPr>
      </w:pPr>
      <w:r>
        <w:rPr>
          <w:rFonts w:hint="eastAsia" w:ascii="仿宋_GB2312" w:hAnsi="仿宋" w:eastAsia="仿宋_GB2312" w:cs="仿宋_GB2312"/>
          <w:b/>
          <w:bCs/>
          <w:kern w:val="1"/>
          <w:sz w:val="36"/>
          <w:szCs w:val="36"/>
        </w:rPr>
        <w:t>第三部分：2019年度部门决算情况说明</w:t>
      </w:r>
    </w:p>
    <w:p>
      <w:pPr>
        <w:ind w:left="420" w:leftChars="200" w:firstLine="321" w:firstLineChars="100"/>
        <w:rPr>
          <w:rFonts w:ascii="仿宋_GB2312" w:eastAsia="仿宋_GB2312"/>
          <w:b/>
          <w:sz w:val="32"/>
          <w:szCs w:val="32"/>
        </w:rPr>
      </w:pPr>
      <w:r>
        <w:rPr>
          <w:rFonts w:hint="eastAsia" w:ascii="仿宋_GB2312" w:eastAsia="仿宋_GB2312"/>
          <w:b/>
          <w:bCs/>
          <w:sz w:val="32"/>
          <w:szCs w:val="32"/>
        </w:rPr>
        <w:t>（一）</w:t>
      </w:r>
      <w:r>
        <w:rPr>
          <w:rFonts w:hint="eastAsia" w:ascii="仿宋_GB2312" w:eastAsia="仿宋_GB2312"/>
          <w:b/>
          <w:sz w:val="32"/>
          <w:szCs w:val="32"/>
        </w:rPr>
        <w:t>工信局本级</w:t>
      </w:r>
    </w:p>
    <w:p>
      <w:pPr>
        <w:rPr>
          <w:rFonts w:ascii="仿宋_GB2312" w:eastAsia="仿宋_GB2312"/>
          <w:bCs/>
          <w:sz w:val="32"/>
          <w:szCs w:val="32"/>
        </w:rPr>
      </w:pPr>
      <w:r>
        <w:rPr>
          <w:rFonts w:hint="eastAsia" w:ascii="仿宋_GB2312" w:eastAsia="仿宋_GB2312"/>
          <w:b/>
          <w:sz w:val="32"/>
          <w:szCs w:val="32"/>
        </w:rPr>
        <w:t xml:space="preserve">    一、</w:t>
      </w:r>
      <w:r>
        <w:rPr>
          <w:rFonts w:hint="eastAsia" w:ascii="仿宋_GB2312" w:eastAsia="仿宋_GB2312"/>
          <w:bCs/>
          <w:sz w:val="32"/>
          <w:szCs w:val="32"/>
        </w:rPr>
        <w:t>收入决算情况说明</w:t>
      </w:r>
    </w:p>
    <w:p>
      <w:pPr>
        <w:ind w:firstLine="640" w:firstLineChars="200"/>
        <w:rPr>
          <w:rFonts w:ascii="仿宋" w:hAnsi="仿宋" w:eastAsia="仿宋"/>
          <w:sz w:val="32"/>
          <w:szCs w:val="32"/>
        </w:rPr>
      </w:pPr>
      <w:r>
        <w:rPr>
          <w:rFonts w:hint="eastAsia" w:ascii="仿宋_GB2312" w:eastAsia="仿宋_GB2312"/>
          <w:sz w:val="32"/>
          <w:szCs w:val="32"/>
        </w:rPr>
        <w:t>2019年工信局收入总额为432.02万元，其中：财政拨款收入417万元，（包括一般公共预算财政拨款收入347万元、政府性基金预算财政拨款收入70万元），占收入总额的96.52%，</w:t>
      </w:r>
      <w:r>
        <w:rPr>
          <w:rFonts w:hint="eastAsia" w:ascii="仿宋" w:hAnsi="仿宋" w:eastAsia="仿宋"/>
          <w:sz w:val="32"/>
          <w:szCs w:val="32"/>
        </w:rPr>
        <w:t>比上年增加38.05万元，增幅10.04%。增加的主要原因是社保准备金到位及工资调标。其他收入15.02万元，较上年增加15.02万元，增幅100%。增加原因是水泥厂饶九高速征地补偿费转入局账户。</w:t>
      </w:r>
    </w:p>
    <w:p>
      <w:pPr>
        <w:rPr>
          <w:rFonts w:ascii="仿宋" w:hAnsi="仿宋" w:eastAsia="仿宋"/>
          <w:sz w:val="32"/>
          <w:szCs w:val="32"/>
        </w:rPr>
      </w:pPr>
      <w:r>
        <w:rPr>
          <w:rFonts w:hint="eastAsia" w:ascii="仿宋" w:hAnsi="仿宋" w:eastAsia="仿宋"/>
          <w:sz w:val="32"/>
          <w:szCs w:val="32"/>
        </w:rPr>
        <w:t xml:space="preserve">   二、支出决算情况说明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2019年工信委支出总额为376.27万元。较上年增加12.17万元，增幅3.34%。年末结转结余106.49万元，比上年增加48.79万元，增幅96.16%。主要原因是项目额度预算不准确，导致部分费用支付不了。</w:t>
      </w:r>
    </w:p>
    <w:p>
      <w:pPr>
        <w:ind w:firstLine="640" w:firstLineChars="200"/>
        <w:rPr>
          <w:rFonts w:ascii="仿宋" w:hAnsi="仿宋" w:eastAsia="仿宋"/>
          <w:sz w:val="32"/>
          <w:szCs w:val="30"/>
        </w:rPr>
      </w:pPr>
      <w:r>
        <w:rPr>
          <w:rFonts w:hint="eastAsia" w:ascii="仿宋" w:hAnsi="仿宋" w:eastAsia="仿宋"/>
          <w:sz w:val="32"/>
          <w:szCs w:val="30"/>
        </w:rPr>
        <w:t>三、财政拨款支出决算情况说明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工信委财政拨款支出总额为375.09万元。较上年增加10.99万元，增幅3.02%。其中：资源勘探电力电力信息等事务支出248.84万元,较上年减少37.16万元，减幅12.99%，原因是在职转退休增加及企业奖励减少;社会保障和就业支出76.26万元，较上年增加26.02万元，增幅51.79%，主要原因是社保缴费准备金拨付到位；医疗卫生与计划生育支出21.36万元，较上年增加4.01万元，增幅23.11%，主要原因是工资调标缴费基数增大；住房保障支出7.16万元，较上年增7.16万元，增幅100%，原因是1-4月份及以前年度住房公积金由财政统一拨付；其他支出21.47万元，较上年增加10.97万元，增幅104.48%，原因是水泥厂退休代交养老金得到返还。</w:t>
      </w:r>
    </w:p>
    <w:p>
      <w:pPr>
        <w:tabs>
          <w:tab w:val="left" w:pos="312"/>
        </w:tabs>
        <w:ind w:firstLine="640" w:firstLineChars="200"/>
        <w:rPr>
          <w:rFonts w:ascii="仿宋" w:hAnsi="仿宋" w:eastAsia="仿宋"/>
          <w:sz w:val="32"/>
          <w:szCs w:val="30"/>
        </w:rPr>
      </w:pPr>
      <w:r>
        <w:rPr>
          <w:rFonts w:hint="eastAsia" w:ascii="仿宋" w:hAnsi="仿宋" w:eastAsia="仿宋"/>
          <w:sz w:val="32"/>
          <w:szCs w:val="30"/>
        </w:rPr>
        <w:t>四、一般公共预算财政拨款基本支出决算情况说明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2019年工信委一般公共预算财政拨款基本支出359.77万元，包括工资福利支出230.42万元，对个人和家庭的补助75.3万元，商品和服务支出51.81万元，资本性支出2.24万元。</w:t>
      </w:r>
    </w:p>
    <w:p>
      <w:pPr>
        <w:widowControl/>
        <w:spacing w:line="600" w:lineRule="exact"/>
        <w:ind w:firstLine="640" w:firstLineChars="200"/>
        <w:jc w:val="left"/>
        <w:rPr>
          <w:rFonts w:ascii="仿宋" w:hAnsi="仿宋" w:eastAsia="仿宋"/>
          <w:sz w:val="32"/>
          <w:szCs w:val="30"/>
        </w:rPr>
      </w:pPr>
      <w:r>
        <w:rPr>
          <w:rFonts w:hint="eastAsia" w:ascii="仿宋" w:hAnsi="仿宋" w:eastAsia="仿宋"/>
          <w:sz w:val="32"/>
          <w:szCs w:val="30"/>
        </w:rPr>
        <w:t>五、一般公共预算财政拨款“三公”经费支出决算情况说明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2019年工信委“三公”经费支出2.41万元，较上年增加0.52万元，增幅27.51%。国内公务接待24（15）批次，共199（150）人次。完成预算的113.68%，增加的主要原因是招商引资项目考察增加。</w:t>
      </w:r>
    </w:p>
    <w:p>
      <w:pPr>
        <w:ind w:firstLine="640" w:firstLineChars="200"/>
        <w:rPr>
          <w:rFonts w:ascii="仿宋_GB2312" w:eastAsia="仿宋_GB2312"/>
          <w:b/>
          <w:bCs/>
          <w:sz w:val="32"/>
          <w:szCs w:val="32"/>
        </w:rPr>
      </w:pPr>
      <w:r>
        <w:rPr>
          <w:rFonts w:hint="eastAsia" w:ascii="仿宋" w:hAnsi="仿宋" w:eastAsia="仿宋"/>
          <w:sz w:val="32"/>
          <w:szCs w:val="30"/>
        </w:rPr>
        <w:t>六、机关运行经费支出情况说明</w:t>
      </w:r>
    </w:p>
    <w:p>
      <w:pPr>
        <w:ind w:firstLine="640" w:firstLineChars="200"/>
        <w:rPr>
          <w:rFonts w:ascii="仿宋_GB2312" w:eastAsia="仿宋_GB2312"/>
          <w:sz w:val="32"/>
          <w:szCs w:val="32"/>
        </w:rPr>
      </w:pPr>
      <w:r>
        <w:rPr>
          <w:rFonts w:hint="eastAsia" w:ascii="仿宋_GB2312" w:eastAsia="仿宋_GB2312"/>
          <w:sz w:val="32"/>
          <w:szCs w:val="32"/>
        </w:rPr>
        <w:t>2019年度工信委机关运行经费支出359.77万元。包括：工资福利支出230.42万元，其中：基本工资57.99万元、津贴30.76万元、奖金65.02万元、养老金31.38万元，职业年金15.64万元、基本医疗费20.39万元、其他社会保障缴费2.08万元、住房公积金7.16万元；对个人和家庭的补助75.3万元，其中：离休费10.39万元、抚恤金13.45万元、生活补助51.46万元；商品和服务支出51.81万元，其中：办公费5.64万元、水费0.25万元、电费1.06万元、邮电费2.12万元、差旅费4.15万元、维修费0.38万元、公务接待费2.41万元、劳务费15.54万元、工会经费4.63万元、福利费4.29万元、其他交通费用8.52万元、其他商服支出2.8万元；资本性支出2.24万元，其中：办公设备购置1.42万元、专用设备购置0.82万元。</w:t>
      </w:r>
    </w:p>
    <w:p>
      <w:pPr>
        <w:widowControl/>
        <w:spacing w:line="600" w:lineRule="exact"/>
        <w:ind w:firstLine="640"/>
        <w:jc w:val="left"/>
        <w:rPr>
          <w:rFonts w:ascii="仿宋" w:hAnsi="仿宋" w:eastAsia="仿宋"/>
          <w:sz w:val="32"/>
          <w:szCs w:val="30"/>
        </w:rPr>
      </w:pPr>
      <w:r>
        <w:rPr>
          <w:rFonts w:hint="eastAsia" w:ascii="仿宋" w:hAnsi="仿宋" w:eastAsia="仿宋"/>
          <w:sz w:val="32"/>
          <w:szCs w:val="30"/>
        </w:rPr>
        <w:t>七、政府采购支出情况说明</w:t>
      </w:r>
    </w:p>
    <w:p>
      <w:pPr>
        <w:ind w:firstLine="640" w:firstLineChars="200"/>
        <w:rPr>
          <w:rFonts w:ascii="仿宋_GB2312" w:eastAsia="仿宋_GB2312"/>
          <w:sz w:val="32"/>
          <w:szCs w:val="32"/>
        </w:rPr>
      </w:pPr>
      <w:r>
        <w:rPr>
          <w:rFonts w:hint="eastAsia" w:ascii="仿宋_GB2312" w:eastAsia="仿宋_GB2312"/>
          <w:sz w:val="32"/>
          <w:szCs w:val="32"/>
        </w:rPr>
        <w:t>2019年工信局货物采购计划3万元，实际采购货物支出2.8万元，完成预算的93.33%。即：购置打印机四台0.69万元，复印机一台0.65万元、办公桌一张0.08万元、油烟净化器一套0.82万元、电脑耗材0.56万元。</w:t>
      </w:r>
    </w:p>
    <w:p>
      <w:pPr>
        <w:rPr>
          <w:rFonts w:ascii="仿宋_GB2312" w:eastAsia="仿宋_GB2312"/>
          <w:sz w:val="32"/>
          <w:szCs w:val="32"/>
        </w:rPr>
      </w:pPr>
      <w:r>
        <w:rPr>
          <w:rFonts w:hint="eastAsia" w:ascii="仿宋_GB2312" w:eastAsia="仿宋_GB2312"/>
          <w:sz w:val="32"/>
          <w:szCs w:val="32"/>
        </w:rPr>
        <w:t>　　八、国有资产占用情况说明</w:t>
      </w:r>
    </w:p>
    <w:p>
      <w:pPr>
        <w:widowControl/>
        <w:spacing w:line="600" w:lineRule="exact"/>
        <w:ind w:firstLine="640"/>
        <w:jc w:val="left"/>
        <w:rPr>
          <w:rFonts w:ascii="仿宋_GB2312" w:eastAsia="仿宋_GB2312"/>
          <w:sz w:val="32"/>
          <w:szCs w:val="32"/>
        </w:rPr>
      </w:pPr>
      <w:r>
        <w:rPr>
          <w:rFonts w:hint="eastAsia" w:ascii="仿宋_GB2312" w:eastAsia="仿宋_GB2312"/>
          <w:sz w:val="32"/>
          <w:szCs w:val="32"/>
        </w:rPr>
        <w:t>2019年工信局资产总额199.05万元。其中：流动资产106.49万元，固定资产92.56万元。</w:t>
      </w:r>
    </w:p>
    <w:p>
      <w:pPr>
        <w:widowControl/>
        <w:numPr>
          <w:ilvl w:val="0"/>
          <w:numId w:val="2"/>
        </w:numPr>
        <w:spacing w:line="600" w:lineRule="exact"/>
        <w:ind w:firstLine="640"/>
        <w:jc w:val="left"/>
        <w:rPr>
          <w:rFonts w:ascii="仿宋_GB2312" w:eastAsia="仿宋_GB2312"/>
          <w:sz w:val="32"/>
          <w:szCs w:val="32"/>
        </w:rPr>
      </w:pPr>
      <w:r>
        <w:rPr>
          <w:rFonts w:hint="eastAsia" w:ascii="仿宋_GB2312" w:eastAsia="仿宋_GB2312"/>
          <w:sz w:val="32"/>
          <w:szCs w:val="32"/>
        </w:rPr>
        <w:t>预算绩效情况说明</w:t>
      </w:r>
    </w:p>
    <w:p>
      <w:pPr>
        <w:widowControl/>
        <w:spacing w:line="600" w:lineRule="exact"/>
        <w:ind w:firstLine="640"/>
        <w:jc w:val="left"/>
        <w:rPr>
          <w:rFonts w:ascii="仿宋_GB2312" w:eastAsia="仿宋_GB2312"/>
          <w:sz w:val="32"/>
          <w:szCs w:val="32"/>
        </w:rPr>
      </w:pPr>
      <w:r>
        <w:rPr>
          <w:rFonts w:hint="eastAsia" w:ascii="仿宋_GB2312" w:eastAsia="仿宋_GB2312"/>
          <w:sz w:val="32"/>
          <w:szCs w:val="32"/>
        </w:rPr>
        <w:t>2019年度工信局财政拨款支出年初预算数为224.92万元，决算数为376.27万元，完成年初预算的167.29%。主要是年初无预算工作经费增加而调整预算增加.</w:t>
      </w:r>
    </w:p>
    <w:p>
      <w:pPr>
        <w:widowControl/>
        <w:spacing w:line="600" w:lineRule="exact"/>
        <w:jc w:val="left"/>
        <w:rPr>
          <w:rFonts w:ascii="仿宋_GB2312" w:eastAsia="仿宋_GB2312"/>
          <w:b/>
          <w:bCs/>
          <w:sz w:val="36"/>
          <w:szCs w:val="36"/>
        </w:rPr>
      </w:pPr>
      <w:r>
        <w:rPr>
          <w:rFonts w:hint="eastAsia" w:ascii="仿宋_GB2312" w:eastAsia="仿宋_GB2312"/>
          <w:sz w:val="32"/>
          <w:szCs w:val="32"/>
        </w:rPr>
        <w:t xml:space="preserve"> </w:t>
      </w:r>
    </w:p>
    <w:p>
      <w:pPr>
        <w:ind w:firstLine="361" w:firstLineChars="100"/>
        <w:rPr>
          <w:rFonts w:ascii="仿宋_GB2312" w:eastAsia="仿宋_GB2312"/>
          <w:b/>
          <w:sz w:val="36"/>
          <w:szCs w:val="36"/>
        </w:rPr>
      </w:pPr>
      <w:r>
        <w:rPr>
          <w:rFonts w:hint="eastAsia" w:ascii="仿宋_GB2312" w:eastAsia="仿宋_GB2312"/>
          <w:b/>
          <w:sz w:val="36"/>
          <w:szCs w:val="36"/>
        </w:rPr>
        <w:t>（二）轻化建材办公室</w:t>
      </w:r>
    </w:p>
    <w:p>
      <w:pPr>
        <w:ind w:firstLine="643" w:firstLineChars="200"/>
        <w:rPr>
          <w:rFonts w:ascii="仿宋_GB2312" w:eastAsia="仿宋_GB2312"/>
          <w:b/>
          <w:bCs/>
          <w:sz w:val="32"/>
          <w:szCs w:val="32"/>
        </w:rPr>
      </w:pPr>
      <w:r>
        <w:rPr>
          <w:rFonts w:hint="eastAsia" w:ascii="仿宋_GB2312" w:eastAsia="仿宋_GB2312"/>
          <w:b/>
          <w:bCs/>
          <w:sz w:val="32"/>
          <w:szCs w:val="32"/>
        </w:rPr>
        <w:t>一、收入决算情况说明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轻化建材办收入总额111.89万元,其中:财政拨款111.89万元，占收入总额的100%，较上年增加35.81万元，增幅47.07%。主要原因一是上年度扫尾资金到本年度元月到账；二是社保缴费准备金拨付到位；三是工资调标。年末结转结余11.49万元，较上年减少1.38万元，主要是费用结算不及时。</w:t>
      </w:r>
    </w:p>
    <w:p>
      <w:pPr>
        <w:ind w:firstLine="643" w:firstLineChars="200"/>
        <w:rPr>
          <w:rFonts w:ascii="仿宋_GB2312" w:eastAsia="仿宋_GB2312"/>
          <w:b/>
          <w:bCs/>
          <w:sz w:val="32"/>
          <w:szCs w:val="32"/>
        </w:rPr>
      </w:pPr>
      <w:r>
        <w:rPr>
          <w:rFonts w:hint="eastAsia" w:ascii="仿宋_GB2312" w:eastAsia="仿宋_GB2312"/>
          <w:b/>
          <w:bCs/>
          <w:sz w:val="32"/>
          <w:szCs w:val="32"/>
        </w:rPr>
        <w:t>二、支出决算情况说明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2019年轻化建材办支出总额113.27万元，较上年增加32.86万元，增幅40.87%。主要是增加了社保准备金和人员奖金的支出。</w:t>
      </w:r>
    </w:p>
    <w:p>
      <w:pPr>
        <w:ind w:firstLine="643" w:firstLineChars="200"/>
        <w:rPr>
          <w:rFonts w:ascii="仿宋_GB2312" w:eastAsia="仿宋_GB2312"/>
          <w:b/>
          <w:bCs/>
          <w:sz w:val="32"/>
          <w:szCs w:val="32"/>
        </w:rPr>
      </w:pPr>
      <w:r>
        <w:rPr>
          <w:rFonts w:hint="eastAsia" w:ascii="仿宋_GB2312" w:eastAsia="仿宋_GB2312"/>
          <w:b/>
          <w:bCs/>
          <w:sz w:val="32"/>
          <w:szCs w:val="32"/>
        </w:rPr>
        <w:t>三、财政拨款支出决算情况说明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轻化办财政拨款支出总额为113.27万元。较上年增加32.86万元，增幅40.87%。其中：社会保障和就业支出24.76万元，较上年增加5.42万元，增幅28.02%，主要是社保缴费准备金支付到位；医疗卫生与计划生育支出10.55万元，较上年减少0.12万元，减幅1.12%，原因是在职转退休增加；资源勘探信息支出74.92万元，较上年增加24.52万元，增幅48.65%，主要原因是人员奖金发放增加；住房保障支出3.04万元，较上年增加3.04万元，增幅100%，原因是1-4月及以前年度住房公积金由财政统一支付。</w:t>
      </w:r>
    </w:p>
    <w:p>
      <w:pPr>
        <w:tabs>
          <w:tab w:val="left" w:pos="312"/>
        </w:tabs>
        <w:ind w:firstLine="643" w:firstLineChars="200"/>
        <w:rPr>
          <w:rFonts w:ascii="仿宋" w:hAnsi="仿宋" w:eastAsia="仿宋"/>
          <w:b/>
          <w:bCs/>
          <w:sz w:val="32"/>
          <w:szCs w:val="30"/>
        </w:rPr>
      </w:pPr>
      <w:r>
        <w:rPr>
          <w:rFonts w:hint="eastAsia" w:ascii="仿宋" w:hAnsi="仿宋" w:eastAsia="仿宋"/>
          <w:b/>
          <w:bCs/>
          <w:sz w:val="32"/>
          <w:szCs w:val="30"/>
        </w:rPr>
        <w:t>四、一般公共预算财政拨款基本支出决算情况说明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 xml:space="preserve">2019年轻化办一般公共预算财政拨款基本支出113.27万元，占支出总额的100%。其中：工资福利支出78.83万元，较上年增加19.56万元，增幅33%;商品服务支出11.19万元，较上年增加2.47万元，增幅28.33%;对个人和家庭补助支出23.25万元，较上年增加10.83万元，增幅87.2%。增加的主要原因是社保准备金缴费到位及人员工资调标和奖金支出增加。  </w:t>
      </w:r>
    </w:p>
    <w:p>
      <w:pPr>
        <w:ind w:firstLine="643" w:firstLineChars="200"/>
        <w:rPr>
          <w:rFonts w:ascii="仿宋_GB2312" w:eastAsia="仿宋_GB2312"/>
          <w:b/>
          <w:bCs/>
          <w:sz w:val="32"/>
          <w:szCs w:val="32"/>
        </w:rPr>
      </w:pPr>
      <w:r>
        <w:rPr>
          <w:rFonts w:hint="eastAsia" w:ascii="仿宋_GB2312" w:eastAsia="仿宋_GB2312"/>
          <w:b/>
          <w:bCs/>
          <w:sz w:val="32"/>
          <w:szCs w:val="32"/>
        </w:rPr>
        <w:t>五、一般公共预算财政拨款“三公”经费支出决算情况说明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2019年轻化建材办“三公”经费支出为0万元，较上年减少0.2万元。</w:t>
      </w:r>
    </w:p>
    <w:p>
      <w:pPr>
        <w:ind w:firstLine="643" w:firstLineChars="200"/>
        <w:rPr>
          <w:rFonts w:ascii="仿宋_GB2312" w:eastAsia="仿宋_GB2312"/>
          <w:b/>
          <w:bCs/>
          <w:sz w:val="32"/>
          <w:szCs w:val="32"/>
        </w:rPr>
      </w:pPr>
      <w:r>
        <w:rPr>
          <w:rFonts w:hint="eastAsia" w:ascii="仿宋_GB2312" w:eastAsia="仿宋_GB2312"/>
          <w:b/>
          <w:bCs/>
          <w:sz w:val="32"/>
          <w:szCs w:val="32"/>
        </w:rPr>
        <w:t>六、机关运行经费支出情况说明</w:t>
      </w:r>
    </w:p>
    <w:p>
      <w:pPr>
        <w:ind w:firstLine="640" w:firstLineChars="200"/>
        <w:rPr>
          <w:rFonts w:ascii="仿宋_GB2312" w:eastAsia="仿宋_GB2312"/>
          <w:sz w:val="32"/>
          <w:szCs w:val="32"/>
        </w:rPr>
      </w:pPr>
      <w:r>
        <w:rPr>
          <w:rFonts w:hint="eastAsia" w:ascii="仿宋_GB2312" w:eastAsia="仿宋_GB2312"/>
          <w:sz w:val="32"/>
          <w:szCs w:val="32"/>
        </w:rPr>
        <w:t>2019年度轻化办单位运行经费支出113.27万元，包括：工资福利支出78.83万元，其中：基本工资23.47万元、津贴14.18万元、奖金11.72万元、基本养老金9.76万元、职业年金4.55万元、基本医疗费10.47万元、其他社会保障缴费0.51万元、住房公积金3.04万元；对个人和家庭的补助23.25万元，其中：离休费9.92万元、生活补助13.34万元；商品和服务支出11.19万元，其中：办公费1.42万元、水费0.1万元、电费0.2万元、邮电费0.65万元、差旅费0.43万元、维修费1.66万元、福利费0.05万元、劳务费4.76万元、工会经费1.47万元、其他交通费用0.24万元、其他商服支出0.22万元。</w:t>
      </w:r>
    </w:p>
    <w:p>
      <w:pPr>
        <w:ind w:firstLine="643" w:firstLineChars="200"/>
        <w:rPr>
          <w:rFonts w:ascii="仿宋_GB2312" w:eastAsia="仿宋_GB2312"/>
          <w:b/>
          <w:bCs/>
          <w:sz w:val="32"/>
          <w:szCs w:val="32"/>
        </w:rPr>
      </w:pPr>
      <w:r>
        <w:rPr>
          <w:rFonts w:hint="eastAsia" w:ascii="仿宋_GB2312" w:eastAsia="仿宋_GB2312"/>
          <w:b/>
          <w:bCs/>
          <w:sz w:val="32"/>
          <w:szCs w:val="32"/>
        </w:rPr>
        <w:t>七、政府采购支出情况说明</w:t>
      </w:r>
    </w:p>
    <w:p>
      <w:pPr>
        <w:ind w:firstLine="640" w:firstLineChars="200"/>
        <w:rPr>
          <w:rFonts w:ascii="仿宋_GB2312" w:eastAsia="仿宋_GB2312"/>
          <w:sz w:val="32"/>
          <w:szCs w:val="32"/>
        </w:rPr>
      </w:pPr>
      <w:r>
        <w:rPr>
          <w:rFonts w:hint="eastAsia" w:ascii="仿宋_GB2312" w:eastAsia="仿宋_GB2312"/>
          <w:sz w:val="32"/>
          <w:szCs w:val="32"/>
        </w:rPr>
        <w:t>2019年轻化建材办政府采购计划1万元，实际采购支出为零。</w:t>
      </w:r>
    </w:p>
    <w:p>
      <w:pPr>
        <w:ind w:firstLine="643" w:firstLineChars="200"/>
        <w:rPr>
          <w:rFonts w:ascii="仿宋_GB2312" w:eastAsia="仿宋_GB2312"/>
          <w:b/>
          <w:bCs/>
          <w:sz w:val="32"/>
          <w:szCs w:val="32"/>
        </w:rPr>
      </w:pPr>
      <w:r>
        <w:rPr>
          <w:rFonts w:hint="eastAsia" w:ascii="仿宋_GB2312" w:eastAsia="仿宋_GB2312"/>
          <w:b/>
          <w:bCs/>
          <w:sz w:val="32"/>
          <w:szCs w:val="32"/>
        </w:rPr>
        <w:t>八、国有资产占用情况说明</w:t>
      </w:r>
    </w:p>
    <w:p>
      <w:pPr>
        <w:ind w:firstLine="640" w:firstLineChars="200"/>
        <w:rPr>
          <w:rFonts w:ascii="仿宋_GB2312" w:eastAsia="仿宋_GB2312"/>
          <w:sz w:val="32"/>
          <w:szCs w:val="32"/>
        </w:rPr>
      </w:pPr>
      <w:r>
        <w:rPr>
          <w:rFonts w:hint="eastAsia" w:ascii="仿宋_GB2312" w:eastAsia="仿宋_GB2312"/>
          <w:sz w:val="32"/>
          <w:szCs w:val="32"/>
        </w:rPr>
        <w:t>2019年轻化建材办资产总额15.1万元。其中：流动资产12.9万元，固定资产2.21万元。</w:t>
      </w:r>
    </w:p>
    <w:p>
      <w:pPr>
        <w:numPr>
          <w:ilvl w:val="0"/>
          <w:numId w:val="2"/>
        </w:numPr>
        <w:tabs>
          <w:tab w:val="left" w:pos="993"/>
        </w:tabs>
        <w:ind w:firstLine="640"/>
        <w:rPr>
          <w:rFonts w:ascii="仿宋_GB2312" w:eastAsia="仿宋_GB2312"/>
          <w:b/>
          <w:bCs/>
          <w:sz w:val="32"/>
          <w:szCs w:val="32"/>
        </w:rPr>
      </w:pPr>
      <w:r>
        <w:rPr>
          <w:rFonts w:hint="eastAsia" w:ascii="仿宋_GB2312" w:eastAsia="仿宋_GB2312"/>
          <w:b/>
          <w:bCs/>
          <w:sz w:val="32"/>
          <w:szCs w:val="32"/>
        </w:rPr>
        <w:t>预算绩效情况说明</w:t>
      </w:r>
    </w:p>
    <w:p>
      <w:pPr>
        <w:widowControl/>
        <w:spacing w:line="600" w:lineRule="exact"/>
        <w:jc w:val="left"/>
        <w:rPr>
          <w:rFonts w:ascii="仿宋_GB2312" w:eastAsia="仿宋_GB2312"/>
          <w:sz w:val="32"/>
          <w:szCs w:val="32"/>
        </w:rPr>
      </w:pPr>
      <w:r>
        <w:rPr>
          <w:rFonts w:hint="eastAsia" w:ascii="仿宋_GB2312" w:eastAsia="仿宋_GB2312"/>
          <w:sz w:val="32"/>
          <w:szCs w:val="32"/>
        </w:rPr>
        <w:t xml:space="preserve">    2019年度轻化办财政拨款支出年初预算数为97.03万元，决算数为113.27万元，完成年初预算的116.74%。主要是年终扫尾调增经费。</w:t>
      </w:r>
    </w:p>
    <w:p>
      <w:pPr>
        <w:rPr>
          <w:rFonts w:ascii="仿宋_GB2312" w:eastAsia="仿宋_GB2312"/>
          <w:sz w:val="32"/>
          <w:szCs w:val="32"/>
        </w:rPr>
      </w:pPr>
    </w:p>
    <w:p>
      <w:pPr>
        <w:rPr>
          <w:rFonts w:ascii="仿宋_GB2312" w:eastAsia="仿宋_GB2312"/>
          <w:sz w:val="30"/>
          <w:szCs w:val="30"/>
        </w:rPr>
      </w:pPr>
    </w:p>
    <w:p>
      <w:pPr>
        <w:jc w:val="center"/>
        <w:rPr>
          <w:rFonts w:ascii="仿宋_GB2312" w:hAnsi="宋体" w:eastAsia="仿宋_GB2312"/>
          <w:sz w:val="36"/>
          <w:szCs w:val="36"/>
        </w:rPr>
      </w:pPr>
      <w:r>
        <w:rPr>
          <w:rFonts w:hint="eastAsia" w:ascii="仿宋_GB2312" w:eastAsia="仿宋_GB2312"/>
          <w:sz w:val="30"/>
          <w:szCs w:val="30"/>
        </w:rPr>
        <w:t xml:space="preserve">             </w:t>
      </w:r>
      <w:r>
        <w:rPr>
          <w:rFonts w:hint="eastAsia" w:ascii="仿宋_GB2312" w:eastAsia="仿宋_GB2312"/>
          <w:sz w:val="36"/>
          <w:szCs w:val="36"/>
        </w:rPr>
        <w:t>2019</w:t>
      </w:r>
      <w:r>
        <w:rPr>
          <w:rFonts w:hint="eastAsia" w:ascii="仿宋_GB2312" w:hAnsi="宋体" w:eastAsia="仿宋_GB2312"/>
          <w:sz w:val="36"/>
          <w:szCs w:val="36"/>
        </w:rPr>
        <w:t xml:space="preserve">年2月25日  </w:t>
      </w:r>
    </w:p>
    <w:p>
      <w:pPr>
        <w:jc w:val="center"/>
        <w:rPr>
          <w:rFonts w:ascii="仿宋_GB2312" w:hAnsi="宋体" w:eastAsia="仿宋_GB2312"/>
          <w:sz w:val="36"/>
          <w:szCs w:val="36"/>
        </w:rPr>
      </w:pP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hint="eastAsia"/>
      </w:rPr>
    </w:pPr>
  </w:p>
  <w:p>
    <w:pPr>
      <w:pStyle w:val="4"/>
      <w:pBdr>
        <w:bottom w:val="none" w:color="auto" w:sz="0" w:space="0"/>
      </w:pBdr>
      <w:rPr>
        <w:rFonts w:hint="eastAsia"/>
      </w:rPr>
    </w:pPr>
  </w:p>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E3B9D"/>
    <w:multiLevelType w:val="singleLevel"/>
    <w:tmpl w:val="2C6E3B9D"/>
    <w:lvl w:ilvl="0" w:tentative="0">
      <w:start w:val="9"/>
      <w:numFmt w:val="chineseCounting"/>
      <w:suff w:val="nothing"/>
      <w:lvlText w:val="%1、"/>
      <w:lvlJc w:val="left"/>
      <w:rPr>
        <w:rFonts w:hint="eastAsia"/>
      </w:rPr>
    </w:lvl>
  </w:abstractNum>
  <w:abstractNum w:abstractNumId="1">
    <w:nsid w:val="3DB71DC2"/>
    <w:multiLevelType w:val="singleLevel"/>
    <w:tmpl w:val="3DB71DC2"/>
    <w:lvl w:ilvl="0" w:tentative="0">
      <w:start w:val="1"/>
      <w:numFmt w:val="low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B4C5C"/>
    <w:rsid w:val="0003108C"/>
    <w:rsid w:val="00034E91"/>
    <w:rsid w:val="0004386C"/>
    <w:rsid w:val="00055E4C"/>
    <w:rsid w:val="00056425"/>
    <w:rsid w:val="000777B6"/>
    <w:rsid w:val="00086F3B"/>
    <w:rsid w:val="000A7387"/>
    <w:rsid w:val="000E354F"/>
    <w:rsid w:val="000F6AA4"/>
    <w:rsid w:val="001000F3"/>
    <w:rsid w:val="00102258"/>
    <w:rsid w:val="00102C1B"/>
    <w:rsid w:val="00122830"/>
    <w:rsid w:val="00127AAD"/>
    <w:rsid w:val="00130379"/>
    <w:rsid w:val="00132D76"/>
    <w:rsid w:val="00136592"/>
    <w:rsid w:val="001457A4"/>
    <w:rsid w:val="0014659A"/>
    <w:rsid w:val="00152225"/>
    <w:rsid w:val="00164621"/>
    <w:rsid w:val="001703CC"/>
    <w:rsid w:val="00171105"/>
    <w:rsid w:val="00184CC4"/>
    <w:rsid w:val="001911FB"/>
    <w:rsid w:val="001952A9"/>
    <w:rsid w:val="001958EC"/>
    <w:rsid w:val="001B6947"/>
    <w:rsid w:val="001C0D08"/>
    <w:rsid w:val="001C7282"/>
    <w:rsid w:val="001D0C3A"/>
    <w:rsid w:val="001E69FC"/>
    <w:rsid w:val="001E706E"/>
    <w:rsid w:val="001F663B"/>
    <w:rsid w:val="00200792"/>
    <w:rsid w:val="00202810"/>
    <w:rsid w:val="002134A2"/>
    <w:rsid w:val="00213C4F"/>
    <w:rsid w:val="00220E80"/>
    <w:rsid w:val="00221D19"/>
    <w:rsid w:val="00222EE4"/>
    <w:rsid w:val="002242EF"/>
    <w:rsid w:val="0022475B"/>
    <w:rsid w:val="00242587"/>
    <w:rsid w:val="00242A84"/>
    <w:rsid w:val="0024508A"/>
    <w:rsid w:val="00245A7A"/>
    <w:rsid w:val="00246DCF"/>
    <w:rsid w:val="002471AD"/>
    <w:rsid w:val="00251F3B"/>
    <w:rsid w:val="00253B43"/>
    <w:rsid w:val="002561C3"/>
    <w:rsid w:val="002571AB"/>
    <w:rsid w:val="002645BC"/>
    <w:rsid w:val="00276C4E"/>
    <w:rsid w:val="002929FF"/>
    <w:rsid w:val="002973E6"/>
    <w:rsid w:val="002A3773"/>
    <w:rsid w:val="002B37FD"/>
    <w:rsid w:val="002D519B"/>
    <w:rsid w:val="002F11DD"/>
    <w:rsid w:val="002F2059"/>
    <w:rsid w:val="002F444A"/>
    <w:rsid w:val="00300342"/>
    <w:rsid w:val="00304503"/>
    <w:rsid w:val="003173FD"/>
    <w:rsid w:val="00325334"/>
    <w:rsid w:val="00345C37"/>
    <w:rsid w:val="003465FD"/>
    <w:rsid w:val="003538E9"/>
    <w:rsid w:val="00353C95"/>
    <w:rsid w:val="00364338"/>
    <w:rsid w:val="003760C1"/>
    <w:rsid w:val="00377232"/>
    <w:rsid w:val="003838CF"/>
    <w:rsid w:val="00392AC1"/>
    <w:rsid w:val="003A02D5"/>
    <w:rsid w:val="003A28A6"/>
    <w:rsid w:val="003A6D51"/>
    <w:rsid w:val="003B1C47"/>
    <w:rsid w:val="003B4B0B"/>
    <w:rsid w:val="003B540A"/>
    <w:rsid w:val="003C1E94"/>
    <w:rsid w:val="003C6B36"/>
    <w:rsid w:val="003D32BC"/>
    <w:rsid w:val="003D5750"/>
    <w:rsid w:val="003E055C"/>
    <w:rsid w:val="003F1FCA"/>
    <w:rsid w:val="003F51F7"/>
    <w:rsid w:val="004054E5"/>
    <w:rsid w:val="00406FB0"/>
    <w:rsid w:val="00417584"/>
    <w:rsid w:val="0042223D"/>
    <w:rsid w:val="00425F3F"/>
    <w:rsid w:val="0046008B"/>
    <w:rsid w:val="004757FE"/>
    <w:rsid w:val="00475AD1"/>
    <w:rsid w:val="00476E9A"/>
    <w:rsid w:val="00482F10"/>
    <w:rsid w:val="00487086"/>
    <w:rsid w:val="00490016"/>
    <w:rsid w:val="00491738"/>
    <w:rsid w:val="004A5A4E"/>
    <w:rsid w:val="004C5C9F"/>
    <w:rsid w:val="004E0241"/>
    <w:rsid w:val="004E033E"/>
    <w:rsid w:val="004E29C2"/>
    <w:rsid w:val="004E2DBD"/>
    <w:rsid w:val="004E3E94"/>
    <w:rsid w:val="004F087F"/>
    <w:rsid w:val="004F5922"/>
    <w:rsid w:val="004F5F77"/>
    <w:rsid w:val="00504B46"/>
    <w:rsid w:val="00505E8C"/>
    <w:rsid w:val="005075B6"/>
    <w:rsid w:val="00507941"/>
    <w:rsid w:val="00507D8B"/>
    <w:rsid w:val="00513F05"/>
    <w:rsid w:val="00514A2F"/>
    <w:rsid w:val="00515259"/>
    <w:rsid w:val="00523481"/>
    <w:rsid w:val="00533485"/>
    <w:rsid w:val="00533619"/>
    <w:rsid w:val="00535EAC"/>
    <w:rsid w:val="005457E0"/>
    <w:rsid w:val="00551F87"/>
    <w:rsid w:val="00553186"/>
    <w:rsid w:val="00553665"/>
    <w:rsid w:val="005537D6"/>
    <w:rsid w:val="0056098F"/>
    <w:rsid w:val="00575F97"/>
    <w:rsid w:val="00582A5C"/>
    <w:rsid w:val="00594442"/>
    <w:rsid w:val="00596AEC"/>
    <w:rsid w:val="005A2825"/>
    <w:rsid w:val="005B1C8E"/>
    <w:rsid w:val="005C5B64"/>
    <w:rsid w:val="005D584C"/>
    <w:rsid w:val="005E3156"/>
    <w:rsid w:val="005F1956"/>
    <w:rsid w:val="005F694D"/>
    <w:rsid w:val="005F6A77"/>
    <w:rsid w:val="00602A03"/>
    <w:rsid w:val="006030BA"/>
    <w:rsid w:val="00610483"/>
    <w:rsid w:val="00616D20"/>
    <w:rsid w:val="00640CB2"/>
    <w:rsid w:val="0064279A"/>
    <w:rsid w:val="006466E3"/>
    <w:rsid w:val="00651B32"/>
    <w:rsid w:val="00653015"/>
    <w:rsid w:val="00660D77"/>
    <w:rsid w:val="0066171C"/>
    <w:rsid w:val="00663C41"/>
    <w:rsid w:val="00696EDE"/>
    <w:rsid w:val="006C14AF"/>
    <w:rsid w:val="006D0576"/>
    <w:rsid w:val="006E2573"/>
    <w:rsid w:val="006E25D0"/>
    <w:rsid w:val="006E3462"/>
    <w:rsid w:val="006F18FF"/>
    <w:rsid w:val="0070367E"/>
    <w:rsid w:val="00707FD2"/>
    <w:rsid w:val="007304DF"/>
    <w:rsid w:val="00730B6A"/>
    <w:rsid w:val="007365A3"/>
    <w:rsid w:val="00751F5F"/>
    <w:rsid w:val="00751F64"/>
    <w:rsid w:val="007640F5"/>
    <w:rsid w:val="00764AF3"/>
    <w:rsid w:val="00784EEF"/>
    <w:rsid w:val="0079024A"/>
    <w:rsid w:val="00791DD5"/>
    <w:rsid w:val="00793375"/>
    <w:rsid w:val="0079573A"/>
    <w:rsid w:val="007A6F14"/>
    <w:rsid w:val="007C2E0C"/>
    <w:rsid w:val="007C635F"/>
    <w:rsid w:val="007C6BA6"/>
    <w:rsid w:val="007D019F"/>
    <w:rsid w:val="007D2B63"/>
    <w:rsid w:val="007D4C79"/>
    <w:rsid w:val="007F1B39"/>
    <w:rsid w:val="0080173F"/>
    <w:rsid w:val="00802322"/>
    <w:rsid w:val="008132D6"/>
    <w:rsid w:val="00816C3D"/>
    <w:rsid w:val="00825900"/>
    <w:rsid w:val="00825C9D"/>
    <w:rsid w:val="00855FA9"/>
    <w:rsid w:val="00865A98"/>
    <w:rsid w:val="0087625C"/>
    <w:rsid w:val="008B0738"/>
    <w:rsid w:val="008B71F6"/>
    <w:rsid w:val="008C1339"/>
    <w:rsid w:val="008C4D3D"/>
    <w:rsid w:val="008D2719"/>
    <w:rsid w:val="008D3CAB"/>
    <w:rsid w:val="008E693B"/>
    <w:rsid w:val="008F0D2E"/>
    <w:rsid w:val="008F439D"/>
    <w:rsid w:val="008F5123"/>
    <w:rsid w:val="0090479C"/>
    <w:rsid w:val="00904D92"/>
    <w:rsid w:val="00907CCC"/>
    <w:rsid w:val="00921495"/>
    <w:rsid w:val="00924D16"/>
    <w:rsid w:val="00924DFC"/>
    <w:rsid w:val="00927A31"/>
    <w:rsid w:val="00931209"/>
    <w:rsid w:val="00932373"/>
    <w:rsid w:val="00935698"/>
    <w:rsid w:val="009518EE"/>
    <w:rsid w:val="00967779"/>
    <w:rsid w:val="00974591"/>
    <w:rsid w:val="00980B9E"/>
    <w:rsid w:val="009C6625"/>
    <w:rsid w:val="009E61D1"/>
    <w:rsid w:val="009F1BCA"/>
    <w:rsid w:val="00A123A7"/>
    <w:rsid w:val="00A21606"/>
    <w:rsid w:val="00A33609"/>
    <w:rsid w:val="00A35AE3"/>
    <w:rsid w:val="00A44AD1"/>
    <w:rsid w:val="00A522D3"/>
    <w:rsid w:val="00A55518"/>
    <w:rsid w:val="00A66B0B"/>
    <w:rsid w:val="00A70EA5"/>
    <w:rsid w:val="00A862E3"/>
    <w:rsid w:val="00AA08D4"/>
    <w:rsid w:val="00AB554A"/>
    <w:rsid w:val="00AC7ED2"/>
    <w:rsid w:val="00AD7808"/>
    <w:rsid w:val="00AE0606"/>
    <w:rsid w:val="00AF4950"/>
    <w:rsid w:val="00AF6682"/>
    <w:rsid w:val="00AF67E7"/>
    <w:rsid w:val="00B02FC8"/>
    <w:rsid w:val="00B07AA6"/>
    <w:rsid w:val="00B21D43"/>
    <w:rsid w:val="00B34B46"/>
    <w:rsid w:val="00B516B1"/>
    <w:rsid w:val="00B60459"/>
    <w:rsid w:val="00B6245C"/>
    <w:rsid w:val="00B62535"/>
    <w:rsid w:val="00B73CBA"/>
    <w:rsid w:val="00B808C3"/>
    <w:rsid w:val="00B8177D"/>
    <w:rsid w:val="00B85101"/>
    <w:rsid w:val="00BA3254"/>
    <w:rsid w:val="00BB0C07"/>
    <w:rsid w:val="00BE1E7F"/>
    <w:rsid w:val="00C4194A"/>
    <w:rsid w:val="00C45E87"/>
    <w:rsid w:val="00C7595C"/>
    <w:rsid w:val="00C87FAC"/>
    <w:rsid w:val="00CB66FA"/>
    <w:rsid w:val="00CC7FD8"/>
    <w:rsid w:val="00CD4D73"/>
    <w:rsid w:val="00CE4FC1"/>
    <w:rsid w:val="00CF2F1D"/>
    <w:rsid w:val="00CF49EC"/>
    <w:rsid w:val="00CF7F18"/>
    <w:rsid w:val="00D0744E"/>
    <w:rsid w:val="00D1301D"/>
    <w:rsid w:val="00D20623"/>
    <w:rsid w:val="00D20B94"/>
    <w:rsid w:val="00D333D2"/>
    <w:rsid w:val="00D61C9A"/>
    <w:rsid w:val="00D63D44"/>
    <w:rsid w:val="00D71BD3"/>
    <w:rsid w:val="00D74064"/>
    <w:rsid w:val="00D74688"/>
    <w:rsid w:val="00D74C4D"/>
    <w:rsid w:val="00D76117"/>
    <w:rsid w:val="00D8416E"/>
    <w:rsid w:val="00D873CF"/>
    <w:rsid w:val="00D87AEC"/>
    <w:rsid w:val="00DA6AA5"/>
    <w:rsid w:val="00DB337E"/>
    <w:rsid w:val="00DC5A69"/>
    <w:rsid w:val="00DC635D"/>
    <w:rsid w:val="00DE0EC4"/>
    <w:rsid w:val="00DE154B"/>
    <w:rsid w:val="00DE189C"/>
    <w:rsid w:val="00E21CCB"/>
    <w:rsid w:val="00E22357"/>
    <w:rsid w:val="00E50E17"/>
    <w:rsid w:val="00E603F8"/>
    <w:rsid w:val="00E63304"/>
    <w:rsid w:val="00E65E30"/>
    <w:rsid w:val="00E660D8"/>
    <w:rsid w:val="00E70D1C"/>
    <w:rsid w:val="00E75234"/>
    <w:rsid w:val="00EA2B00"/>
    <w:rsid w:val="00EB4557"/>
    <w:rsid w:val="00EC1764"/>
    <w:rsid w:val="00EE0DE2"/>
    <w:rsid w:val="00EF2988"/>
    <w:rsid w:val="00F01D8A"/>
    <w:rsid w:val="00F11E41"/>
    <w:rsid w:val="00F30E70"/>
    <w:rsid w:val="00F45E94"/>
    <w:rsid w:val="00F474D3"/>
    <w:rsid w:val="00F5455D"/>
    <w:rsid w:val="00F60D52"/>
    <w:rsid w:val="00F66708"/>
    <w:rsid w:val="00F851D8"/>
    <w:rsid w:val="00F97B37"/>
    <w:rsid w:val="00FA46FD"/>
    <w:rsid w:val="00FA6859"/>
    <w:rsid w:val="00FA7E31"/>
    <w:rsid w:val="00FB0980"/>
    <w:rsid w:val="00FB4C5C"/>
    <w:rsid w:val="00FC7B08"/>
    <w:rsid w:val="00FE0478"/>
    <w:rsid w:val="00FE04D3"/>
    <w:rsid w:val="00FE27DA"/>
    <w:rsid w:val="00FE7CE3"/>
    <w:rsid w:val="00FF67B5"/>
    <w:rsid w:val="00FF6F79"/>
    <w:rsid w:val="011F65E3"/>
    <w:rsid w:val="01A05AC2"/>
    <w:rsid w:val="01B068A0"/>
    <w:rsid w:val="020B7E24"/>
    <w:rsid w:val="02F41F53"/>
    <w:rsid w:val="045A633B"/>
    <w:rsid w:val="04AA42B8"/>
    <w:rsid w:val="058B4604"/>
    <w:rsid w:val="06EE3EC8"/>
    <w:rsid w:val="076C3C68"/>
    <w:rsid w:val="083827E6"/>
    <w:rsid w:val="0AAA1714"/>
    <w:rsid w:val="0D8432B2"/>
    <w:rsid w:val="0E7B457F"/>
    <w:rsid w:val="0FCF62A4"/>
    <w:rsid w:val="12594854"/>
    <w:rsid w:val="133B4379"/>
    <w:rsid w:val="13A51BBF"/>
    <w:rsid w:val="14417893"/>
    <w:rsid w:val="16D33171"/>
    <w:rsid w:val="17517702"/>
    <w:rsid w:val="176761D2"/>
    <w:rsid w:val="195C5BC4"/>
    <w:rsid w:val="197422E1"/>
    <w:rsid w:val="1994750A"/>
    <w:rsid w:val="1A610069"/>
    <w:rsid w:val="1C69603A"/>
    <w:rsid w:val="1CA21D06"/>
    <w:rsid w:val="1D215F51"/>
    <w:rsid w:val="1E1A0140"/>
    <w:rsid w:val="1ED326EC"/>
    <w:rsid w:val="1F9859CE"/>
    <w:rsid w:val="1FD929CE"/>
    <w:rsid w:val="20124561"/>
    <w:rsid w:val="203F0877"/>
    <w:rsid w:val="21486F85"/>
    <w:rsid w:val="216F17FD"/>
    <w:rsid w:val="22166CB6"/>
    <w:rsid w:val="223217EE"/>
    <w:rsid w:val="231D2A5E"/>
    <w:rsid w:val="24FA28A1"/>
    <w:rsid w:val="257661E2"/>
    <w:rsid w:val="257C2F18"/>
    <w:rsid w:val="25842905"/>
    <w:rsid w:val="25C5667F"/>
    <w:rsid w:val="25FE3072"/>
    <w:rsid w:val="266A614F"/>
    <w:rsid w:val="26C81659"/>
    <w:rsid w:val="271F1387"/>
    <w:rsid w:val="27665EB9"/>
    <w:rsid w:val="283A6746"/>
    <w:rsid w:val="28F43A57"/>
    <w:rsid w:val="298468EB"/>
    <w:rsid w:val="2ADA4C32"/>
    <w:rsid w:val="2ADD305B"/>
    <w:rsid w:val="2CB310F2"/>
    <w:rsid w:val="2D8A6895"/>
    <w:rsid w:val="2D953EEB"/>
    <w:rsid w:val="2DFC6DC7"/>
    <w:rsid w:val="2FCA36C4"/>
    <w:rsid w:val="30151F3F"/>
    <w:rsid w:val="312A513C"/>
    <w:rsid w:val="31FD4820"/>
    <w:rsid w:val="32B07B0B"/>
    <w:rsid w:val="331A3364"/>
    <w:rsid w:val="33E476EA"/>
    <w:rsid w:val="34635D53"/>
    <w:rsid w:val="35747B4D"/>
    <w:rsid w:val="363E1B83"/>
    <w:rsid w:val="370A4C63"/>
    <w:rsid w:val="3793635F"/>
    <w:rsid w:val="38513465"/>
    <w:rsid w:val="38A46E7B"/>
    <w:rsid w:val="38CB35B2"/>
    <w:rsid w:val="38DC5772"/>
    <w:rsid w:val="39D867C9"/>
    <w:rsid w:val="3A4A487F"/>
    <w:rsid w:val="3BFC1843"/>
    <w:rsid w:val="3C3403B7"/>
    <w:rsid w:val="3C9B785F"/>
    <w:rsid w:val="3E38671B"/>
    <w:rsid w:val="3FB503B7"/>
    <w:rsid w:val="400360C3"/>
    <w:rsid w:val="40527321"/>
    <w:rsid w:val="40ED2073"/>
    <w:rsid w:val="416217E2"/>
    <w:rsid w:val="41C85E0A"/>
    <w:rsid w:val="42F97963"/>
    <w:rsid w:val="43012312"/>
    <w:rsid w:val="43115793"/>
    <w:rsid w:val="433A4393"/>
    <w:rsid w:val="43C800BF"/>
    <w:rsid w:val="44442E9C"/>
    <w:rsid w:val="4689595E"/>
    <w:rsid w:val="46EC2735"/>
    <w:rsid w:val="4895064B"/>
    <w:rsid w:val="48F24E4F"/>
    <w:rsid w:val="492F539B"/>
    <w:rsid w:val="4B8315A7"/>
    <w:rsid w:val="4C132CBA"/>
    <w:rsid w:val="4C8E1BA2"/>
    <w:rsid w:val="4CF53720"/>
    <w:rsid w:val="4D304A79"/>
    <w:rsid w:val="4DD0153B"/>
    <w:rsid w:val="4E106440"/>
    <w:rsid w:val="4F7C13AF"/>
    <w:rsid w:val="4F953661"/>
    <w:rsid w:val="50331E34"/>
    <w:rsid w:val="5182013A"/>
    <w:rsid w:val="52E95BFD"/>
    <w:rsid w:val="53413A69"/>
    <w:rsid w:val="539462DE"/>
    <w:rsid w:val="5543285A"/>
    <w:rsid w:val="55DA4311"/>
    <w:rsid w:val="56186CB8"/>
    <w:rsid w:val="561A205C"/>
    <w:rsid w:val="564C6277"/>
    <w:rsid w:val="567D3CDB"/>
    <w:rsid w:val="56A0608E"/>
    <w:rsid w:val="56D61EA3"/>
    <w:rsid w:val="578E6358"/>
    <w:rsid w:val="581B2997"/>
    <w:rsid w:val="585F5964"/>
    <w:rsid w:val="5883375D"/>
    <w:rsid w:val="58C404DC"/>
    <w:rsid w:val="59C641C7"/>
    <w:rsid w:val="5A007563"/>
    <w:rsid w:val="5BC62392"/>
    <w:rsid w:val="5CEA6B0D"/>
    <w:rsid w:val="5D7A6FED"/>
    <w:rsid w:val="5E38774E"/>
    <w:rsid w:val="5E7F57A4"/>
    <w:rsid w:val="5F35182A"/>
    <w:rsid w:val="602B62C1"/>
    <w:rsid w:val="606E2DCC"/>
    <w:rsid w:val="60CB012D"/>
    <w:rsid w:val="62B520DB"/>
    <w:rsid w:val="6405487E"/>
    <w:rsid w:val="6439450E"/>
    <w:rsid w:val="64D628DB"/>
    <w:rsid w:val="65DE4060"/>
    <w:rsid w:val="66A03EB4"/>
    <w:rsid w:val="66B96B0D"/>
    <w:rsid w:val="66C158EF"/>
    <w:rsid w:val="68412DC7"/>
    <w:rsid w:val="685A326F"/>
    <w:rsid w:val="687E3FA0"/>
    <w:rsid w:val="6984251D"/>
    <w:rsid w:val="6AD91906"/>
    <w:rsid w:val="6C873827"/>
    <w:rsid w:val="6CB34B16"/>
    <w:rsid w:val="6CEC0904"/>
    <w:rsid w:val="6DBD54B0"/>
    <w:rsid w:val="6DE14A2D"/>
    <w:rsid w:val="6DFF70E4"/>
    <w:rsid w:val="6E2305BA"/>
    <w:rsid w:val="6E3B3FE4"/>
    <w:rsid w:val="6F9C490F"/>
    <w:rsid w:val="6FA55E04"/>
    <w:rsid w:val="6FB6609E"/>
    <w:rsid w:val="70254932"/>
    <w:rsid w:val="71774626"/>
    <w:rsid w:val="72BE3358"/>
    <w:rsid w:val="738F04D6"/>
    <w:rsid w:val="747F2FA0"/>
    <w:rsid w:val="749421A5"/>
    <w:rsid w:val="76005723"/>
    <w:rsid w:val="76991607"/>
    <w:rsid w:val="76E10738"/>
    <w:rsid w:val="7808486E"/>
    <w:rsid w:val="7947261A"/>
    <w:rsid w:val="79D64020"/>
    <w:rsid w:val="7A043148"/>
    <w:rsid w:val="7BEC3846"/>
    <w:rsid w:val="7DEA63D9"/>
    <w:rsid w:val="7F397BAE"/>
    <w:rsid w:val="7FA87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列出段落1"/>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B2A272-5373-48B8-AED1-26003621B5B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47</Pages>
  <Words>4139</Words>
  <Characters>23594</Characters>
  <Lines>196</Lines>
  <Paragraphs>55</Paragraphs>
  <TotalTime>5</TotalTime>
  <ScaleCrop>false</ScaleCrop>
  <LinksUpToDate>false</LinksUpToDate>
  <CharactersWithSpaces>27678</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2012-07-17T03:32:00Z</dcterms:created>
  <dc:creator>微软用户</dc:creator>
  <cp:lastModifiedBy>Administrator</cp:lastModifiedBy>
  <cp:lastPrinted>2016-01-10T06:32:00Z</cp:lastPrinted>
  <dcterms:modified xsi:type="dcterms:W3CDTF">2020-10-26T08:17:39Z</dcterms:modified>
  <dc:title>星子县工信委2012年部门预算草案编制说明</dc:title>
  <cp:revision>225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